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4A" w:rsidRDefault="00DD154A" w:rsidP="00DD154A">
      <w:pPr>
        <w:overflowPunct w:val="0"/>
        <w:adjustRightInd w:val="0"/>
        <w:spacing w:line="590" w:lineRule="exact"/>
        <w:ind w:firstLine="0"/>
        <w:outlineLvl w:val="2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2</w:t>
      </w:r>
    </w:p>
    <w:p w:rsidR="00DD154A" w:rsidRDefault="00DD154A" w:rsidP="00DD154A">
      <w:pPr>
        <w:overflowPunct w:val="0"/>
        <w:adjustRightInd w:val="0"/>
        <w:spacing w:line="590" w:lineRule="exact"/>
        <w:ind w:firstLineChars="200" w:firstLine="880"/>
        <w:outlineLvl w:val="2"/>
        <w:rPr>
          <w:rFonts w:eastAsia="方正小标宋_GBK" w:hint="eastAsia"/>
          <w:sz w:val="44"/>
          <w:szCs w:val="44"/>
        </w:rPr>
      </w:pPr>
    </w:p>
    <w:p w:rsidR="00DD154A" w:rsidRDefault="00DD154A" w:rsidP="00DD154A">
      <w:pPr>
        <w:overflowPunct w:val="0"/>
        <w:adjustRightInd w:val="0"/>
        <w:spacing w:line="590" w:lineRule="exact"/>
        <w:ind w:firstLine="0"/>
        <w:jc w:val="center"/>
        <w:outlineLvl w:val="2"/>
        <w:rPr>
          <w:rFonts w:ascii="方正小标宋_GBK"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2025</w:t>
      </w:r>
      <w:r>
        <w:rPr>
          <w:rFonts w:eastAsia="方正小标宋_GBK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度省自然科学基金项目指南</w:t>
      </w:r>
    </w:p>
    <w:p w:rsidR="00DD154A" w:rsidRDefault="00DD154A" w:rsidP="00DD154A">
      <w:pPr>
        <w:overflowPunct w:val="0"/>
        <w:adjustRightInd w:val="0"/>
        <w:spacing w:line="590" w:lineRule="exact"/>
        <w:ind w:firstLineChars="200" w:firstLine="640"/>
        <w:outlineLvl w:val="2"/>
        <w:rPr>
          <w:rFonts w:hint="eastAsia"/>
        </w:rPr>
      </w:pPr>
    </w:p>
    <w:p w:rsidR="00DD154A" w:rsidRDefault="00DD154A" w:rsidP="00DD154A">
      <w:pPr>
        <w:overflowPunct w:val="0"/>
        <w:adjustRightInd w:val="0"/>
        <w:spacing w:line="590" w:lineRule="exact"/>
        <w:ind w:firstLineChars="200" w:firstLine="640"/>
        <w:outlineLvl w:val="2"/>
      </w:pPr>
      <w:r>
        <w:rPr>
          <w:rFonts w:hint="eastAsia"/>
        </w:rPr>
        <w:t>落实《江苏省加强基础研究行动方案》要求，优先支持</w:t>
      </w:r>
      <w:r>
        <w:rPr>
          <w:rFonts w:hint="eastAsia"/>
        </w:rPr>
        <w:t>18</w:t>
      </w:r>
      <w:r>
        <w:rPr>
          <w:rFonts w:hint="eastAsia"/>
        </w:rPr>
        <w:t>个重点领域以及人工智能驱动的科学研究，鼓励探索和提出新概念、新理论、新方法，促进科研范式变革和学科交叉融合。</w:t>
      </w:r>
    </w:p>
    <w:p w:rsidR="00DD154A" w:rsidRDefault="00DD154A" w:rsidP="00DD154A">
      <w:pPr>
        <w:overflowPunct w:val="0"/>
        <w:spacing w:line="590" w:lineRule="exact"/>
        <w:ind w:firstLineChars="200" w:firstLine="640"/>
        <w:outlineLvl w:val="2"/>
        <w:rPr>
          <w:rFonts w:ascii="方正黑体_GBK" w:eastAsia="方正黑体_GBK" w:hint="eastAsia"/>
          <w:szCs w:val="32"/>
        </w:rPr>
      </w:pPr>
      <w:r>
        <w:rPr>
          <w:rFonts w:ascii="方正黑体_GBK" w:eastAsia="方正黑体_GBK" w:hint="eastAsia"/>
          <w:szCs w:val="32"/>
        </w:rPr>
        <w:t>一、重点领域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战略</w:t>
      </w:r>
      <w:r>
        <w:rPr>
          <w:rFonts w:eastAsia="方正楷体_GBK" w:hint="eastAsia"/>
          <w:snapToGrid/>
          <w:kern w:val="2"/>
          <w:szCs w:val="32"/>
        </w:rPr>
        <w:t>性</w:t>
      </w:r>
      <w:r>
        <w:rPr>
          <w:rFonts w:eastAsia="方正楷体_GBK"/>
          <w:snapToGrid/>
          <w:kern w:val="2"/>
          <w:szCs w:val="32"/>
        </w:rPr>
        <w:t>新材料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snapToGrid/>
          <w:kern w:val="2"/>
          <w:szCs w:val="32"/>
        </w:rPr>
        <w:t>加强战略性结构材料、先进功能材料和前沿新材料制备研究，构建跨尺度、多维度、极端环境原位表征平台，提升前沿材料创新策源能力。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01</w:t>
      </w:r>
      <w:r>
        <w:rPr>
          <w:snapToGrid/>
          <w:kern w:val="2"/>
          <w:szCs w:val="32"/>
        </w:rPr>
        <w:t xml:space="preserve">1  </w:t>
      </w:r>
      <w:r>
        <w:rPr>
          <w:snapToGrid/>
          <w:kern w:val="2"/>
          <w:szCs w:val="32"/>
        </w:rPr>
        <w:t>特种结构材料</w:t>
      </w:r>
      <w:r>
        <w:rPr>
          <w:rFonts w:hint="eastAsia"/>
          <w:snapToGrid/>
          <w:kern w:val="2"/>
          <w:szCs w:val="32"/>
        </w:rPr>
        <w:t>的构效关系研究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01</w:t>
      </w:r>
      <w:r>
        <w:rPr>
          <w:snapToGrid/>
          <w:kern w:val="2"/>
          <w:szCs w:val="32"/>
        </w:rPr>
        <w:t xml:space="preserve">2  </w:t>
      </w:r>
      <w:r>
        <w:rPr>
          <w:snapToGrid/>
          <w:kern w:val="2"/>
          <w:szCs w:val="32"/>
        </w:rPr>
        <w:t>高性能膜和催化材料</w:t>
      </w:r>
      <w:r>
        <w:rPr>
          <w:rFonts w:hint="eastAsia"/>
          <w:snapToGrid/>
          <w:kern w:val="2"/>
          <w:szCs w:val="32"/>
        </w:rPr>
        <w:t>的机理研究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01</w:t>
      </w:r>
      <w:r>
        <w:rPr>
          <w:snapToGrid/>
          <w:kern w:val="2"/>
          <w:szCs w:val="32"/>
        </w:rPr>
        <w:t xml:space="preserve">3  </w:t>
      </w:r>
      <w:r>
        <w:rPr>
          <w:rFonts w:hint="eastAsia"/>
          <w:snapToGrid/>
          <w:kern w:val="2"/>
          <w:szCs w:val="32"/>
        </w:rPr>
        <w:t>二维材料可控生长、新物性探索及原型器件构筑机理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01</w:t>
      </w:r>
      <w:r>
        <w:rPr>
          <w:snapToGrid/>
          <w:kern w:val="2"/>
          <w:szCs w:val="32"/>
        </w:rPr>
        <w:t xml:space="preserve">4  </w:t>
      </w:r>
      <w:r>
        <w:rPr>
          <w:snapToGrid/>
          <w:kern w:val="2"/>
          <w:szCs w:val="32"/>
        </w:rPr>
        <w:t>超材料</w:t>
      </w:r>
      <w:r>
        <w:rPr>
          <w:rFonts w:hint="eastAsia"/>
          <w:snapToGrid/>
          <w:kern w:val="2"/>
          <w:szCs w:val="32"/>
        </w:rPr>
        <w:t>基本规律研究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015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特种纤维材料</w:t>
      </w:r>
      <w:r>
        <w:rPr>
          <w:rFonts w:hint="eastAsia"/>
          <w:snapToGrid/>
          <w:kern w:val="2"/>
          <w:szCs w:val="32"/>
        </w:rPr>
        <w:t>构建机制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 xml:space="preserve">016  </w:t>
      </w:r>
      <w:r>
        <w:rPr>
          <w:rFonts w:hint="eastAsia"/>
          <w:snapToGrid/>
          <w:kern w:val="2"/>
          <w:szCs w:val="32"/>
        </w:rPr>
        <w:t>单团簇晶体管的设计与原子制造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集成电路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聚焦半导体材料和器件的设计理论与仿真软件、原子级</w:t>
      </w:r>
      <w:r>
        <w:rPr>
          <w:rFonts w:hint="eastAsia"/>
          <w:snapToGrid/>
          <w:kern w:val="2"/>
          <w:szCs w:val="32"/>
        </w:rPr>
        <w:lastRenderedPageBreak/>
        <w:t>制造、超高性能芯片等领域，</w:t>
      </w:r>
      <w:r>
        <w:rPr>
          <w:snapToGrid/>
          <w:kern w:val="2"/>
          <w:szCs w:val="32"/>
        </w:rPr>
        <w:t>重点在新架构、新方法、新工具、新器件等方面形成重大突破，为超越摩尔定律提供原创理论和技术路线。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021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硅基异质集成与协同</w:t>
      </w:r>
      <w:r>
        <w:rPr>
          <w:rFonts w:hint="eastAsia"/>
          <w:snapToGrid/>
          <w:kern w:val="2"/>
          <w:szCs w:val="32"/>
        </w:rPr>
        <w:t>设计方法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022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新型半导体基芯片性能调控机制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023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光电芯片</w:t>
      </w:r>
      <w:r>
        <w:rPr>
          <w:rFonts w:hint="eastAsia"/>
          <w:snapToGrid/>
          <w:kern w:val="2"/>
          <w:szCs w:val="32"/>
        </w:rPr>
        <w:t>设计与集成构架方法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024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超宽禁带半导体技术基础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</w:t>
      </w:r>
      <w:r>
        <w:rPr>
          <w:rFonts w:hint="eastAsia"/>
          <w:snapToGrid/>
          <w:kern w:val="2"/>
          <w:szCs w:val="32"/>
        </w:rPr>
        <w:t>025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人工智能辅助</w:t>
      </w:r>
      <w:r>
        <w:rPr>
          <w:snapToGrid/>
          <w:kern w:val="2"/>
          <w:szCs w:val="32"/>
        </w:rPr>
        <w:t>EDA</w:t>
      </w:r>
      <w:r>
        <w:rPr>
          <w:snapToGrid/>
          <w:kern w:val="2"/>
          <w:szCs w:val="32"/>
        </w:rPr>
        <w:t>设计</w:t>
      </w:r>
      <w:r>
        <w:rPr>
          <w:rFonts w:hint="eastAsia"/>
          <w:snapToGrid/>
          <w:kern w:val="2"/>
          <w:szCs w:val="32"/>
        </w:rPr>
        <w:t>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3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量子科技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围绕量子态构筑与量子调控，开发新材料、设计新结构、发现新物态，推动未来量子计算机、下一代量子通讯取得显著进步，在若干战略方向进入量子科技前列。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2031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量子材料</w:t>
      </w:r>
      <w:r>
        <w:rPr>
          <w:rFonts w:hint="eastAsia"/>
          <w:snapToGrid/>
          <w:kern w:val="2"/>
          <w:szCs w:val="32"/>
        </w:rPr>
        <w:t>物</w:t>
      </w:r>
      <w:r>
        <w:rPr>
          <w:snapToGrid/>
          <w:kern w:val="2"/>
          <w:szCs w:val="32"/>
        </w:rPr>
        <w:t>性调控原理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2032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超导量子计算与固态量子模拟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2033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量子保密通信理论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2034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量子芯片设计基础</w:t>
      </w:r>
      <w:r>
        <w:rPr>
          <w:snapToGrid/>
          <w:kern w:val="2"/>
          <w:szCs w:val="32"/>
        </w:rPr>
        <w:tab/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2035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量子传感与精密测量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4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脑科学与类脑智能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聚焦脑科学与类脑研究国际前沿科学研究领域，</w:t>
      </w:r>
      <w:r>
        <w:rPr>
          <w:snapToGrid/>
          <w:kern w:val="2"/>
          <w:szCs w:val="32"/>
        </w:rPr>
        <w:t>加快脑认知神经机制、脑疾病诊治、类脑智能等重大技术变革，支撑脑启发人工智能颠覆性技术发展。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lastRenderedPageBreak/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2041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脑认知原理解析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2042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重大脑疾病发病机理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2043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类脑智能计算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2044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脑机接口科学</w:t>
      </w:r>
      <w:r>
        <w:rPr>
          <w:rFonts w:hint="eastAsia"/>
          <w:snapToGrid/>
          <w:kern w:val="2"/>
          <w:szCs w:val="32"/>
        </w:rPr>
        <w:t>理论</w:t>
      </w:r>
      <w:r>
        <w:rPr>
          <w:snapToGrid/>
          <w:kern w:val="2"/>
          <w:szCs w:val="32"/>
        </w:rPr>
        <w:t>与方法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5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人工智能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重点研究引领人工智能算法、模型发展、深度学习的数学基础理论，开展面向复杂环境的人工智能感知、认知、决策方法和人工智能大模型研究，形成人工智能新型原创理论，努力取得一批国际领先的重大成果。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2051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智能感知与识别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2052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跨媒体智能分析与推理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2053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群体智能优化与协同机理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205</w:t>
      </w:r>
      <w:r>
        <w:rPr>
          <w:snapToGrid/>
          <w:kern w:val="2"/>
          <w:szCs w:val="32"/>
        </w:rPr>
        <w:t xml:space="preserve">4  </w:t>
      </w:r>
      <w:r>
        <w:rPr>
          <w:snapToGrid/>
          <w:kern w:val="2"/>
          <w:szCs w:val="32"/>
        </w:rPr>
        <w:t>自主决策与环境协同机制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205</w:t>
      </w:r>
      <w:r>
        <w:rPr>
          <w:snapToGrid/>
          <w:kern w:val="2"/>
          <w:szCs w:val="32"/>
        </w:rPr>
        <w:t xml:space="preserve">5  </w:t>
      </w:r>
      <w:r>
        <w:rPr>
          <w:snapToGrid/>
          <w:kern w:val="2"/>
          <w:szCs w:val="32"/>
        </w:rPr>
        <w:t>多模态数字内容生成方法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6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数学及其应用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重点研究基础数学的前沿问题，数据科学与人工智能的数学基础，复杂系统的分析、优化、博弈与调控，编码与密码学中的数学理论与算法等。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2061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基础</w:t>
      </w:r>
      <w:r>
        <w:rPr>
          <w:snapToGrid/>
          <w:kern w:val="2"/>
          <w:szCs w:val="32"/>
        </w:rPr>
        <w:t>数学前沿理论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2062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数据科学与人工智能的数学基础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lastRenderedPageBreak/>
        <w:t>2063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复杂</w:t>
      </w:r>
      <w:r>
        <w:rPr>
          <w:snapToGrid/>
          <w:kern w:val="2"/>
          <w:szCs w:val="32"/>
        </w:rPr>
        <w:t>系统中的数学理论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2064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密码</w:t>
      </w:r>
      <w:r>
        <w:rPr>
          <w:snapToGrid/>
          <w:kern w:val="2"/>
          <w:szCs w:val="32"/>
        </w:rPr>
        <w:t>学中的数学原理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7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物态调控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在新型超导材料、低维量子材料、自旋电子学材料、拓扑物性调控、拓扑新材料、多原子体系及其异质结构等重要领域开展基础理论、调控方法、材料制备等研究。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2071  </w:t>
      </w:r>
      <w:r>
        <w:rPr>
          <w:rFonts w:hint="eastAsia"/>
          <w:snapToGrid/>
          <w:kern w:val="2"/>
          <w:szCs w:val="32"/>
        </w:rPr>
        <w:t>拓扑关联电子态及多场耦合调控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2072  </w:t>
      </w:r>
      <w:r>
        <w:rPr>
          <w:rFonts w:hint="eastAsia"/>
          <w:snapToGrid/>
          <w:kern w:val="2"/>
          <w:szCs w:val="32"/>
        </w:rPr>
        <w:t>微结构物态调控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2073  </w:t>
      </w:r>
      <w:r>
        <w:rPr>
          <w:rFonts w:hint="eastAsia"/>
          <w:snapToGrid/>
          <w:kern w:val="2"/>
          <w:szCs w:val="32"/>
        </w:rPr>
        <w:t>亚原子系统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2074  </w:t>
      </w:r>
      <w:r>
        <w:rPr>
          <w:rFonts w:hint="eastAsia"/>
          <w:snapToGrid/>
          <w:kern w:val="2"/>
          <w:szCs w:val="32"/>
        </w:rPr>
        <w:t>前沿交叉新效应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8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催化科学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开展表界面效应、化学键选择性断裂与重组、催化过程中能量传递等研究，发展催化剂可控和规模制备、手性天然产物和手性药物</w:t>
      </w:r>
      <w:r>
        <w:rPr>
          <w:rFonts w:hint="eastAsia"/>
          <w:snapToGrid/>
          <w:kern w:val="2"/>
          <w:szCs w:val="32"/>
        </w:rPr>
        <w:t>定向转化</w:t>
      </w:r>
      <w:r>
        <w:rPr>
          <w:snapToGrid/>
          <w:kern w:val="2"/>
          <w:szCs w:val="32"/>
        </w:rPr>
        <w:t>等新技术。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2081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均多相融合催化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2082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催化剂精准创制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2083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惰性化学键转化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9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生命体精准设计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重点研究新型基因编辑工具的作用机制与基因治疗策略，基因元件、调控模块及回路设计、组织器官构建的生物力学和结构基础等，完善农业生物重要性状遗传改良及分子</w:t>
      </w:r>
      <w:r>
        <w:rPr>
          <w:snapToGrid/>
          <w:kern w:val="2"/>
          <w:szCs w:val="32"/>
        </w:rPr>
        <w:lastRenderedPageBreak/>
        <w:t>育种等生物育种理论基础。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2091  </w:t>
      </w:r>
      <w:r>
        <w:rPr>
          <w:rFonts w:hint="eastAsia"/>
          <w:snapToGrid/>
          <w:kern w:val="2"/>
          <w:szCs w:val="32"/>
        </w:rPr>
        <w:t>生命体基因编辑与修饰工具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2092  </w:t>
      </w:r>
      <w:r>
        <w:rPr>
          <w:rFonts w:hint="eastAsia"/>
          <w:snapToGrid/>
          <w:kern w:val="2"/>
          <w:szCs w:val="32"/>
        </w:rPr>
        <w:t>新型细胞治疗和基因治疗机制与策略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2093  </w:t>
      </w:r>
      <w:r>
        <w:rPr>
          <w:rFonts w:hint="eastAsia"/>
          <w:snapToGrid/>
          <w:kern w:val="2"/>
          <w:szCs w:val="32"/>
        </w:rPr>
        <w:t>细胞</w:t>
      </w:r>
      <w:r>
        <w:rPr>
          <w:rFonts w:hint="eastAsia"/>
          <w:snapToGrid/>
          <w:kern w:val="2"/>
          <w:szCs w:val="32"/>
        </w:rPr>
        <w:t>/</w:t>
      </w:r>
      <w:r>
        <w:rPr>
          <w:rFonts w:hint="eastAsia"/>
          <w:snapToGrid/>
          <w:kern w:val="2"/>
          <w:szCs w:val="32"/>
        </w:rPr>
        <w:t>组织功能重塑与调控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2094  </w:t>
      </w:r>
      <w:r>
        <w:rPr>
          <w:rFonts w:hint="eastAsia"/>
          <w:snapToGrid/>
          <w:kern w:val="2"/>
          <w:szCs w:val="32"/>
        </w:rPr>
        <w:t>遗传性状设计与分子育种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10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宇宙演化与深地深海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开展宇宙起源与演化研究，突破天体剧烈运动、数字地球科学、深地工程地质与岩土力学、深渊科学研究、深地深海装备研发等领域相关基础科学核心问题。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2101  </w:t>
      </w:r>
      <w:r>
        <w:rPr>
          <w:snapToGrid/>
          <w:kern w:val="2"/>
          <w:szCs w:val="32"/>
        </w:rPr>
        <w:t>宇宙起源与演化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2102  </w:t>
      </w:r>
      <w:r>
        <w:rPr>
          <w:snapToGrid/>
          <w:kern w:val="2"/>
          <w:szCs w:val="32"/>
        </w:rPr>
        <w:t>天体剧烈运动机制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2103  </w:t>
      </w:r>
      <w:r>
        <w:rPr>
          <w:rFonts w:hint="eastAsia"/>
          <w:snapToGrid/>
          <w:kern w:val="2"/>
          <w:szCs w:val="32"/>
        </w:rPr>
        <w:t>地球系统与全球变化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2104  </w:t>
      </w:r>
      <w:r>
        <w:rPr>
          <w:snapToGrid/>
          <w:kern w:val="2"/>
          <w:szCs w:val="32"/>
        </w:rPr>
        <w:t>海洋资源及</w:t>
      </w:r>
      <w:r>
        <w:rPr>
          <w:rFonts w:hint="eastAsia"/>
          <w:snapToGrid/>
          <w:kern w:val="2"/>
          <w:szCs w:val="32"/>
        </w:rPr>
        <w:t>科学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2105  </w:t>
      </w:r>
      <w:r>
        <w:rPr>
          <w:rFonts w:hint="eastAsia"/>
          <w:snapToGrid/>
          <w:kern w:val="2"/>
          <w:szCs w:val="32"/>
        </w:rPr>
        <w:t>生命起源与天体生物学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11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核心算法与未来计算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建立面向大模型的数据采样、数据推断等人工智能基础理论与核心算法，构建通用人工智能元方法，增强核心算法实用性和新型计算系统安全性。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2111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高效高精优化算法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2112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基于</w:t>
      </w:r>
      <w:r>
        <w:rPr>
          <w:snapToGrid/>
          <w:kern w:val="2"/>
          <w:szCs w:val="32"/>
        </w:rPr>
        <w:t>AI</w:t>
      </w:r>
      <w:r>
        <w:rPr>
          <w:snapToGrid/>
          <w:kern w:val="2"/>
          <w:szCs w:val="32"/>
        </w:rPr>
        <w:t>的计算新理论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lastRenderedPageBreak/>
        <w:t>2113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大数据与交互计算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2114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大数据安全与隐私保护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2115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云计算认知推理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12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未来网络通信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探索全频谱宽带通信接入、分布式云网超融合等新型网络通信体系架构和组网理论研究，攻克大规模网络最优协同控制、网络通信广义功能安全等内生智能、内生安全重大科学问题，全面构建</w:t>
      </w:r>
      <w:r>
        <w:rPr>
          <w:snapToGrid/>
          <w:kern w:val="2"/>
          <w:szCs w:val="32"/>
        </w:rPr>
        <w:t>T</w:t>
      </w:r>
      <w:r>
        <w:rPr>
          <w:snapToGrid/>
          <w:kern w:val="2"/>
          <w:szCs w:val="32"/>
        </w:rPr>
        <w:t>时代网络基础能力和领先优势。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2121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网络内生智能优化机制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21</w:t>
      </w:r>
      <w:r>
        <w:rPr>
          <w:rFonts w:hint="eastAsia"/>
          <w:snapToGrid/>
          <w:kern w:val="2"/>
          <w:szCs w:val="32"/>
        </w:rPr>
        <w:t>2</w:t>
      </w:r>
      <w:r>
        <w:rPr>
          <w:snapToGrid/>
          <w:kern w:val="2"/>
          <w:szCs w:val="32"/>
        </w:rPr>
        <w:t xml:space="preserve">2  </w:t>
      </w:r>
      <w:r>
        <w:rPr>
          <w:rFonts w:hint="eastAsia"/>
          <w:snapToGrid/>
          <w:kern w:val="2"/>
          <w:szCs w:val="32"/>
        </w:rPr>
        <w:t>普适协同通信感知与计算方法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21</w:t>
      </w:r>
      <w:r>
        <w:rPr>
          <w:rFonts w:hint="eastAsia"/>
          <w:snapToGrid/>
          <w:kern w:val="2"/>
          <w:szCs w:val="32"/>
        </w:rPr>
        <w:t>2</w:t>
      </w:r>
      <w:r>
        <w:rPr>
          <w:snapToGrid/>
          <w:kern w:val="2"/>
          <w:szCs w:val="32"/>
        </w:rPr>
        <w:t xml:space="preserve">3  </w:t>
      </w:r>
      <w:r>
        <w:rPr>
          <w:snapToGrid/>
          <w:kern w:val="2"/>
          <w:szCs w:val="32"/>
        </w:rPr>
        <w:t>网络内生安全机制研究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13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新能源与储能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开展高效低成本规模化绿氢制取及储运、钙钛矿</w:t>
      </w:r>
      <w:r>
        <w:rPr>
          <w:snapToGrid/>
          <w:kern w:val="2"/>
          <w:szCs w:val="32"/>
        </w:rPr>
        <w:t>/</w:t>
      </w:r>
      <w:r>
        <w:rPr>
          <w:snapToGrid/>
          <w:kern w:val="2"/>
          <w:szCs w:val="32"/>
        </w:rPr>
        <w:t>叠层光伏、水伏能量转换、高能量密度储能、高安全低成本长寿命储能、零碳排放能源系统等前沿科技问题研究，实现能源系统深度数字化和智能化。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2131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零碳能源技术</w:t>
      </w:r>
      <w:r>
        <w:rPr>
          <w:rFonts w:hint="eastAsia"/>
          <w:snapToGrid/>
          <w:kern w:val="2"/>
          <w:szCs w:val="32"/>
        </w:rPr>
        <w:t>基础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2132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变革性储能</w:t>
      </w:r>
      <w:r>
        <w:rPr>
          <w:rFonts w:hint="eastAsia"/>
          <w:snapToGrid/>
          <w:kern w:val="2"/>
          <w:szCs w:val="32"/>
        </w:rPr>
        <w:t>新原理及新体系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2133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智能电网</w:t>
      </w:r>
      <w:r>
        <w:rPr>
          <w:rFonts w:hint="eastAsia"/>
          <w:snapToGrid/>
          <w:kern w:val="2"/>
          <w:szCs w:val="32"/>
        </w:rPr>
        <w:t>及源网荷协同理论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2134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智慧能源系统及优化方法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2135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深地热能储用新方法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lastRenderedPageBreak/>
        <w:t>14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先进制造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突破工业软件中核心算法与基础架构、三维几何引擎和约束求解器等核心组件、基础零部件与制造工艺、智能装配与服役可靠性等关键瓶颈，推动智能制造、极端制造进入国际领先行列。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2141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基础工业软件基础理论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color w:val="FF0000"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2142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智能设计、制造与测量新原理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2143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多材料增材制造共性科学问题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2144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极端制造科学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2145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机器人化制造基础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2146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人</w:t>
      </w:r>
      <w:r>
        <w:rPr>
          <w:rFonts w:hint="eastAsia"/>
          <w:snapToGrid/>
          <w:kern w:val="2"/>
          <w:szCs w:val="32"/>
        </w:rPr>
        <w:t>-</w:t>
      </w:r>
      <w:r>
        <w:rPr>
          <w:snapToGrid/>
          <w:kern w:val="2"/>
          <w:szCs w:val="32"/>
        </w:rPr>
        <w:t>机</w:t>
      </w:r>
      <w:r>
        <w:rPr>
          <w:rFonts w:hint="eastAsia"/>
          <w:snapToGrid/>
          <w:kern w:val="2"/>
          <w:szCs w:val="32"/>
        </w:rPr>
        <w:t>-</w:t>
      </w:r>
      <w:r>
        <w:rPr>
          <w:snapToGrid/>
          <w:kern w:val="2"/>
          <w:szCs w:val="32"/>
        </w:rPr>
        <w:t>环境共融机器人学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15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干细胞研究与器官修复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开展重大疾病防诊治的干细胞精准化研究，重点解决干细胞命运调控、器官功能重塑、人类疾病干细胞模型等方面的基础理论，探索精准医学、再生医学等医疗新策略与新模式。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2151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干细胞体内命运调控与组织修复机制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2152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器官稳态重塑与功能调控基础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2153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类器官模型与疾病机制研究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16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靶标组与原创药物发现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开展重大疾病精准防治和药物新靶标发现及作用机制</w:t>
      </w:r>
      <w:r>
        <w:rPr>
          <w:snapToGrid/>
          <w:kern w:val="2"/>
          <w:szCs w:val="32"/>
        </w:rPr>
        <w:lastRenderedPageBreak/>
        <w:t>研究，针对心脑血管、恶性肿瘤、神经精神疾病、代谢性疾病等重大慢病，全面深入解析疾病的分子流行病学机制，发现具有重要影响的基因、酶、受体等生物大分子和相关调控通路，确定可被药物干预的靶标组，构筑多靶标原创药物研发新范式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216</w:t>
      </w:r>
      <w:r>
        <w:rPr>
          <w:rFonts w:hint="eastAsia"/>
          <w:snapToGrid/>
          <w:kern w:val="2"/>
          <w:szCs w:val="32"/>
        </w:rPr>
        <w:t>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药物靶标组发现与功能确证机制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2162</w:t>
      </w:r>
      <w:r>
        <w:rPr>
          <w:snapToGrid/>
          <w:kern w:val="2"/>
          <w:szCs w:val="32"/>
        </w:rPr>
        <w:t xml:space="preserve">  </w:t>
      </w:r>
      <w:r>
        <w:rPr>
          <w:rFonts w:hint="eastAsia"/>
          <w:snapToGrid/>
          <w:kern w:val="2"/>
          <w:szCs w:val="32"/>
        </w:rPr>
        <w:t>药物智能递送系统设计方法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2163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因患制宜治疗</w:t>
      </w:r>
      <w:r>
        <w:rPr>
          <w:rFonts w:hint="eastAsia"/>
          <w:snapToGrid/>
          <w:kern w:val="2"/>
          <w:szCs w:val="32"/>
        </w:rPr>
        <w:t>体系构建理论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2164  </w:t>
      </w:r>
      <w:r>
        <w:rPr>
          <w:snapToGrid/>
          <w:kern w:val="2"/>
          <w:szCs w:val="32"/>
        </w:rPr>
        <w:t>心脑血管、恶性肿瘤</w:t>
      </w:r>
      <w:r>
        <w:rPr>
          <w:rFonts w:hint="eastAsia"/>
          <w:snapToGrid/>
          <w:kern w:val="2"/>
          <w:szCs w:val="32"/>
        </w:rPr>
        <w:t>等疾病发生机制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17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合成生物学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开展前沿生物技术创新，加强生物体预测、合成与调控等核心理论研究，重点在基因组进化、基因回路和代谢通路设计等方面提出新理论、新方法。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217</w:t>
      </w:r>
      <w:r>
        <w:rPr>
          <w:rFonts w:hint="eastAsia"/>
          <w:snapToGrid/>
          <w:kern w:val="2"/>
          <w:szCs w:val="32"/>
        </w:rPr>
        <w:t>1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基因回路设计合成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217</w:t>
      </w:r>
      <w:r>
        <w:rPr>
          <w:rFonts w:hint="eastAsia"/>
          <w:snapToGrid/>
          <w:kern w:val="2"/>
          <w:szCs w:val="32"/>
        </w:rPr>
        <w:t>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功能元件定向改造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217</w:t>
      </w:r>
      <w:r>
        <w:rPr>
          <w:rFonts w:hint="eastAsia"/>
          <w:snapToGrid/>
          <w:kern w:val="2"/>
          <w:szCs w:val="32"/>
        </w:rPr>
        <w:t>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代谢网络精准调控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217</w:t>
      </w:r>
      <w:r>
        <w:rPr>
          <w:rFonts w:hint="eastAsia"/>
          <w:snapToGrid/>
          <w:kern w:val="2"/>
          <w:szCs w:val="32"/>
        </w:rPr>
        <w:t>4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合成生物系统创建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/>
          <w:snapToGrid/>
          <w:kern w:val="2"/>
          <w:szCs w:val="32"/>
        </w:rPr>
      </w:pPr>
      <w:r>
        <w:rPr>
          <w:rFonts w:eastAsia="方正楷体_GBK"/>
          <w:snapToGrid/>
          <w:kern w:val="2"/>
          <w:szCs w:val="32"/>
        </w:rPr>
        <w:t>18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/>
          <w:snapToGrid/>
          <w:kern w:val="2"/>
          <w:szCs w:val="32"/>
        </w:rPr>
        <w:t>碳中和前沿研究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着眼气候变化与碳循环、生态环境与人类健康的互馈机制等关键科学问题，研究碳捕获、利用与封存以及生态系统碳汇巩固能力提升等科学原理。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lastRenderedPageBreak/>
        <w:t>重点方向：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2181</w:t>
      </w:r>
      <w:r>
        <w:rPr>
          <w:snapToGrid/>
          <w:kern w:val="2"/>
          <w:szCs w:val="32"/>
        </w:rPr>
        <w:t xml:space="preserve">  CCUS</w:t>
      </w:r>
      <w:r>
        <w:rPr>
          <w:rFonts w:hint="eastAsia"/>
          <w:snapToGrid/>
          <w:kern w:val="2"/>
          <w:szCs w:val="32"/>
        </w:rPr>
        <w:t>前沿科学问题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2182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生态系统固碳机理和调控机制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2183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低碳与零碳工业流程再造</w:t>
      </w:r>
      <w:r>
        <w:rPr>
          <w:rFonts w:hint="eastAsia"/>
          <w:snapToGrid/>
          <w:kern w:val="2"/>
          <w:szCs w:val="32"/>
        </w:rPr>
        <w:t>理论与方法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2184</w:t>
      </w:r>
      <w:r>
        <w:rPr>
          <w:snapToGrid/>
          <w:kern w:val="2"/>
          <w:szCs w:val="32"/>
        </w:rPr>
        <w:t xml:space="preserve">  </w:t>
      </w:r>
      <w:r>
        <w:rPr>
          <w:snapToGrid/>
          <w:kern w:val="2"/>
          <w:szCs w:val="32"/>
        </w:rPr>
        <w:t>环境系统低碳绿色重构</w:t>
      </w:r>
      <w:r>
        <w:rPr>
          <w:rFonts w:hint="eastAsia"/>
          <w:snapToGrid/>
          <w:kern w:val="2"/>
          <w:szCs w:val="32"/>
        </w:rPr>
        <w:t>原理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ascii="方正黑体_GBK" w:eastAsia="方正黑体_GBK" w:hint="eastAsia"/>
          <w:snapToGrid/>
          <w:kern w:val="2"/>
          <w:szCs w:val="32"/>
        </w:rPr>
      </w:pPr>
      <w:r>
        <w:rPr>
          <w:rFonts w:ascii="方正黑体_GBK" w:eastAsia="方正黑体_GBK" w:hint="eastAsia"/>
          <w:snapToGrid/>
          <w:kern w:val="2"/>
          <w:szCs w:val="32"/>
        </w:rPr>
        <w:t>二、重点专题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eastAsia="方正楷体_GBK" w:hint="eastAsia"/>
          <w:snapToGrid/>
          <w:kern w:val="2"/>
          <w:szCs w:val="32"/>
        </w:rPr>
      </w:pPr>
      <w:bookmarkStart w:id="0" w:name="OLE_LINK16"/>
      <w:bookmarkStart w:id="1" w:name="OLE_LINK15"/>
      <w:r>
        <w:rPr>
          <w:rFonts w:eastAsia="方正楷体_GBK" w:hint="eastAsia"/>
          <w:snapToGrid/>
          <w:kern w:val="2"/>
          <w:szCs w:val="32"/>
        </w:rPr>
        <w:t>19</w:t>
      </w:r>
      <w:r>
        <w:rPr>
          <w:rFonts w:hint="eastAsia"/>
          <w:snapToGrid/>
          <w:kern w:val="2"/>
          <w:szCs w:val="32"/>
        </w:rPr>
        <w:t>．</w:t>
      </w:r>
      <w:r>
        <w:rPr>
          <w:rFonts w:eastAsia="方正楷体_GBK" w:hint="eastAsia"/>
          <w:snapToGrid/>
          <w:kern w:val="2"/>
          <w:szCs w:val="32"/>
        </w:rPr>
        <w:t>人工智能驱动的科学研究（</w:t>
      </w:r>
      <w:bookmarkStart w:id="2" w:name="OLE_LINK5"/>
      <w:bookmarkStart w:id="3" w:name="OLE_LINK6"/>
      <w:r>
        <w:rPr>
          <w:rFonts w:eastAsia="方正楷体_GBK" w:hint="eastAsia"/>
          <w:snapToGrid/>
          <w:kern w:val="2"/>
          <w:szCs w:val="32"/>
        </w:rPr>
        <w:t>AI for Science</w:t>
      </w:r>
      <w:bookmarkEnd w:id="2"/>
      <w:bookmarkEnd w:id="3"/>
      <w:r>
        <w:rPr>
          <w:rFonts w:eastAsia="方正楷体_GBK" w:hint="eastAsia"/>
          <w:snapToGrid/>
          <w:kern w:val="2"/>
          <w:szCs w:val="32"/>
        </w:rPr>
        <w:t>）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面向现代科学研究需求，利用人工智能发展适于探索科学前沿的新理论、新模型、新算法，推动</w:t>
      </w:r>
      <w:r>
        <w:rPr>
          <w:rFonts w:hint="eastAsia"/>
          <w:snapToGrid/>
          <w:kern w:val="2"/>
          <w:szCs w:val="32"/>
        </w:rPr>
        <w:t>AI</w:t>
      </w:r>
      <w:r>
        <w:rPr>
          <w:rFonts w:hint="eastAsia"/>
          <w:snapToGrid/>
          <w:kern w:val="2"/>
          <w:szCs w:val="32"/>
        </w:rPr>
        <w:t>与数据科学、材料、物化生等学科的交叉融合，解决复杂科学问题，提升科研效率和质量，促进科学研究范式变革，努力实现基础科学的重大发现和突破，打造智能化科研的创新生态。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重点方向：</w:t>
      </w:r>
    </w:p>
    <w:bookmarkEnd w:id="0"/>
    <w:bookmarkEnd w:id="1"/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2191  AI</w:t>
      </w:r>
      <w:r>
        <w:rPr>
          <w:rFonts w:hint="eastAsia"/>
          <w:snapToGrid/>
          <w:kern w:val="2"/>
          <w:szCs w:val="32"/>
        </w:rPr>
        <w:t>驱动物理化学过程模拟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2192  AI</w:t>
      </w:r>
      <w:r>
        <w:rPr>
          <w:rFonts w:hint="eastAsia"/>
          <w:snapToGrid/>
          <w:kern w:val="2"/>
          <w:szCs w:val="32"/>
        </w:rPr>
        <w:t>加速的材料设计与仿真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2193  AI</w:t>
      </w:r>
      <w:r>
        <w:rPr>
          <w:rFonts w:hint="eastAsia"/>
          <w:snapToGrid/>
          <w:kern w:val="2"/>
          <w:szCs w:val="32"/>
        </w:rPr>
        <w:t>与量子科技前沿的交叉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2194  </w:t>
      </w:r>
      <w:r>
        <w:rPr>
          <w:rFonts w:hint="eastAsia"/>
          <w:snapToGrid/>
          <w:kern w:val="2"/>
          <w:szCs w:val="32"/>
        </w:rPr>
        <w:t>基于</w:t>
      </w:r>
      <w:r>
        <w:rPr>
          <w:rFonts w:hint="eastAsia"/>
          <w:snapToGrid/>
          <w:kern w:val="2"/>
          <w:szCs w:val="32"/>
        </w:rPr>
        <w:t>AI</w:t>
      </w:r>
      <w:r>
        <w:rPr>
          <w:rFonts w:hint="eastAsia"/>
          <w:snapToGrid/>
          <w:kern w:val="2"/>
          <w:szCs w:val="32"/>
        </w:rPr>
        <w:t>的药物设计与筛选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2195  </w:t>
      </w:r>
      <w:r>
        <w:rPr>
          <w:rFonts w:hint="eastAsia"/>
          <w:snapToGrid/>
          <w:kern w:val="2"/>
          <w:szCs w:val="32"/>
        </w:rPr>
        <w:t>基于</w:t>
      </w:r>
      <w:r>
        <w:rPr>
          <w:rFonts w:hint="eastAsia"/>
          <w:snapToGrid/>
          <w:kern w:val="2"/>
          <w:szCs w:val="32"/>
        </w:rPr>
        <w:t>AI</w:t>
      </w:r>
      <w:r>
        <w:rPr>
          <w:rFonts w:hint="eastAsia"/>
          <w:snapToGrid/>
          <w:kern w:val="2"/>
          <w:szCs w:val="32"/>
        </w:rPr>
        <w:t>的功能基因组学分析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hint="eastAsia"/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2196  </w:t>
      </w:r>
      <w:r>
        <w:rPr>
          <w:rFonts w:hint="eastAsia"/>
          <w:snapToGrid/>
          <w:kern w:val="2"/>
          <w:szCs w:val="32"/>
        </w:rPr>
        <w:t>复杂环境的建模与预测</w:t>
      </w:r>
    </w:p>
    <w:p w:rsidR="00DD154A" w:rsidRDefault="00DD154A" w:rsidP="00DD154A">
      <w:pPr>
        <w:overflowPunct w:val="0"/>
        <w:autoSpaceDE/>
        <w:autoSpaceDN/>
        <w:adjustRightInd w:val="0"/>
        <w:spacing w:line="590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楷体_GBK" w:eastAsia="方正楷体_GBK" w:hint="eastAsia"/>
          <w:snapToGrid/>
          <w:kern w:val="2"/>
          <w:szCs w:val="32"/>
        </w:rPr>
        <w:t>注：不属于以上重点领域的项目，也可申报。</w:t>
      </w:r>
    </w:p>
    <w:p w:rsidR="001061FA" w:rsidRPr="00DD154A" w:rsidRDefault="001061FA">
      <w:bookmarkStart w:id="4" w:name="_GoBack"/>
      <w:bookmarkEnd w:id="4"/>
    </w:p>
    <w:sectPr w:rsidR="001061FA" w:rsidRPr="00DD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F3" w:rsidRDefault="00D868F3" w:rsidP="00DD154A">
      <w:pPr>
        <w:spacing w:line="240" w:lineRule="auto"/>
      </w:pPr>
      <w:r>
        <w:separator/>
      </w:r>
    </w:p>
  </w:endnote>
  <w:endnote w:type="continuationSeparator" w:id="0">
    <w:p w:rsidR="00D868F3" w:rsidRDefault="00D868F3" w:rsidP="00DD1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F3" w:rsidRDefault="00D868F3" w:rsidP="00DD154A">
      <w:pPr>
        <w:spacing w:line="240" w:lineRule="auto"/>
      </w:pPr>
      <w:r>
        <w:separator/>
      </w:r>
    </w:p>
  </w:footnote>
  <w:footnote w:type="continuationSeparator" w:id="0">
    <w:p w:rsidR="00D868F3" w:rsidRDefault="00D868F3" w:rsidP="00DD15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EA"/>
    <w:rsid w:val="001061FA"/>
    <w:rsid w:val="006E4CEA"/>
    <w:rsid w:val="00D868F3"/>
    <w:rsid w:val="00D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5BDC5-BADC-4294-A801-3A3A6285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D154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D154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D15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154A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D154A"/>
    <w:rPr>
      <w:sz w:val="18"/>
      <w:szCs w:val="18"/>
    </w:rPr>
  </w:style>
  <w:style w:type="paragraph" w:styleId="a0">
    <w:name w:val="Balloon Text"/>
    <w:basedOn w:val="a"/>
    <w:link w:val="a8"/>
    <w:uiPriority w:val="99"/>
    <w:semiHidden/>
    <w:unhideWhenUsed/>
    <w:rsid w:val="00DD154A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rsid w:val="00DD154A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523</Words>
  <Characters>2987</Characters>
  <Application>Microsoft Office Word</Application>
  <DocSecurity>0</DocSecurity>
  <Lines>24</Lines>
  <Paragraphs>7</Paragraphs>
  <ScaleCrop>false</ScaleCrop>
  <Company>微软中国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2025-02-19T06:16:00Z</dcterms:created>
  <dcterms:modified xsi:type="dcterms:W3CDTF">2025-02-19T06:17:00Z</dcterms:modified>
</cp:coreProperties>
</file>