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5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w:t>
      </w:r>
    </w:p>
    <w:p>
      <w:pPr>
        <w:adjustRightInd w:val="0"/>
        <w:snapToGrid w:val="0"/>
        <w:spacing w:line="550" w:lineRule="exact"/>
        <w:jc w:val="center"/>
        <w:rPr>
          <w:rFonts w:ascii="Times New Roman" w:hAnsi="Times New Roman" w:eastAsia="仿宋_GB2312" w:cs="Times New Roman"/>
          <w:snapToGrid w:val="0"/>
          <w:color w:val="000000" w:themeColor="text1"/>
          <w:sz w:val="32"/>
          <w:szCs w:val="32"/>
          <w14:textFill>
            <w14:solidFill>
              <w14:schemeClr w14:val="tx1"/>
            </w14:solidFill>
          </w14:textFill>
        </w:rPr>
      </w:pPr>
    </w:p>
    <w:p>
      <w:pPr>
        <w:adjustRightInd w:val="0"/>
        <w:snapToGrid w:val="0"/>
        <w:spacing w:line="550" w:lineRule="exact"/>
        <w:jc w:val="center"/>
        <w:rPr>
          <w:rFonts w:ascii="方正小标宋简体" w:hAnsi="Times New Roman" w:eastAsia="方正小标宋简体" w:cs="Times New Roman"/>
          <w:snapToGrid w:val="0"/>
          <w:color w:val="000000" w:themeColor="text1"/>
          <w:sz w:val="44"/>
          <w:szCs w:val="44"/>
          <w14:textFill>
            <w14:solidFill>
              <w14:schemeClr w14:val="tx1"/>
            </w14:solidFill>
          </w14:textFill>
        </w:rPr>
      </w:pPr>
      <w:r>
        <w:rPr>
          <w:rFonts w:hint="eastAsia" w:ascii="方正小标宋简体" w:hAnsi="Times New Roman" w:eastAsia="方正小标宋简体" w:cs="Times New Roman"/>
          <w:snapToGrid w:val="0"/>
          <w:color w:val="000000" w:themeColor="text1"/>
          <w:sz w:val="44"/>
          <w:szCs w:val="44"/>
          <w14:textFill>
            <w14:solidFill>
              <w14:schemeClr w14:val="tx1"/>
            </w14:solidFill>
          </w14:textFill>
        </w:rPr>
        <w:t>2022常州“国际智造”创新创业大赛工作方案</w:t>
      </w:r>
    </w:p>
    <w:p>
      <w:pPr>
        <w:overflowPunct w:val="0"/>
        <w:autoSpaceDE w:val="0"/>
        <w:autoSpaceDN w:val="0"/>
        <w:adjustRightInd w:val="0"/>
        <w:snapToGrid w:val="0"/>
        <w:spacing w:line="550" w:lineRule="exact"/>
        <w:jc w:val="center"/>
        <w:rPr>
          <w:rFonts w:ascii="Times New Roman" w:hAnsi="Times New Roman" w:eastAsia="仿宋_GB2312" w:cs="Times New Roman"/>
          <w:snapToGrid w:val="0"/>
          <w:color w:val="000000" w:themeColor="text1"/>
          <w:sz w:val="32"/>
          <w:szCs w:val="32"/>
          <w14:textFill>
            <w14:solidFill>
              <w14:schemeClr w14:val="tx1"/>
            </w14:solidFill>
          </w14:textFill>
        </w:rPr>
      </w:pPr>
    </w:p>
    <w:p>
      <w:pPr>
        <w:overflowPunct w:val="0"/>
        <w:autoSpaceDE w:val="0"/>
        <w:autoSpaceDN w:val="0"/>
        <w:adjustRightInd w:val="0"/>
        <w:snapToGrid w:val="0"/>
        <w:spacing w:line="550" w:lineRule="exact"/>
        <w:ind w:firstLine="641"/>
        <w:rPr>
          <w:rFonts w:ascii="Times New Roman" w:hAnsi="Times New Roman" w:eastAsia="黑体" w:cs="Times New Roman"/>
          <w:snapToGrid w:val="0"/>
          <w:color w:val="000000" w:themeColor="text1"/>
          <w:kern w:val="0"/>
          <w:sz w:val="32"/>
          <w:szCs w:val="32"/>
          <w14:textFill>
            <w14:solidFill>
              <w14:schemeClr w14:val="tx1"/>
            </w14:solidFill>
          </w14:textFill>
        </w:rPr>
      </w:pPr>
      <w:r>
        <w:rPr>
          <w:rFonts w:ascii="Times New Roman" w:hAnsi="Times New Roman" w:eastAsia="黑体" w:cs="Times New Roman"/>
          <w:snapToGrid w:val="0"/>
          <w:color w:val="000000" w:themeColor="text1"/>
          <w:kern w:val="0"/>
          <w:sz w:val="32"/>
          <w:szCs w:val="32"/>
          <w14:textFill>
            <w14:solidFill>
              <w14:schemeClr w14:val="tx1"/>
            </w14:solidFill>
          </w14:textFill>
        </w:rPr>
        <w:t>一、大赛目的</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深入贯彻市委十三次党代会精神，落实市委市政府全力推进“532”发展战略，奋力推动常州走在社会主义现代化建设前列部署，聚焦“国际化智造名城、长三角中轴枢纽”城市定位，全面实施《常州市“十四五”科技创新发展规划》，搭建创新创业公共服务平台，营造“大众创业万众创新”的良好环境，打造全国青年创新创业最向往的城市，进一步激发全市创新创业热情和主体活力，大力吸引国内外优秀团队及企业到常州创新创业，集聚高质量发展动能，建设创新引领、人才汇聚的现代化常州。</w:t>
      </w:r>
    </w:p>
    <w:p>
      <w:pPr>
        <w:overflowPunct w:val="0"/>
        <w:autoSpaceDE w:val="0"/>
        <w:autoSpaceDN w:val="0"/>
        <w:adjustRightInd w:val="0"/>
        <w:snapToGrid w:val="0"/>
        <w:spacing w:line="550" w:lineRule="exact"/>
        <w:ind w:firstLine="641"/>
        <w:rPr>
          <w:rFonts w:ascii="Times New Roman" w:hAnsi="Times New Roman" w:eastAsia="黑体" w:cs="Times New Roman"/>
          <w:snapToGrid w:val="0"/>
          <w:color w:val="000000" w:themeColor="text1"/>
          <w:kern w:val="0"/>
          <w:sz w:val="32"/>
          <w:szCs w:val="32"/>
          <w14:textFill>
            <w14:solidFill>
              <w14:schemeClr w14:val="tx1"/>
            </w14:solidFill>
          </w14:textFill>
        </w:rPr>
      </w:pPr>
      <w:r>
        <w:rPr>
          <w:rFonts w:ascii="Times New Roman" w:hAnsi="Times New Roman" w:eastAsia="黑体" w:cs="Times New Roman"/>
          <w:snapToGrid w:val="0"/>
          <w:color w:val="000000" w:themeColor="text1"/>
          <w:kern w:val="0"/>
          <w:sz w:val="32"/>
          <w:szCs w:val="32"/>
          <w14:textFill>
            <w14:solidFill>
              <w14:schemeClr w14:val="tx1"/>
            </w14:solidFill>
          </w14:textFill>
        </w:rPr>
        <w:t>二、大赛主题</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遇常州</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创未来</w:t>
      </w:r>
    </w:p>
    <w:p>
      <w:pPr>
        <w:overflowPunct w:val="0"/>
        <w:autoSpaceDE w:val="0"/>
        <w:autoSpaceDN w:val="0"/>
        <w:adjustRightInd w:val="0"/>
        <w:snapToGrid w:val="0"/>
        <w:spacing w:line="550" w:lineRule="exact"/>
        <w:ind w:firstLine="641"/>
        <w:rPr>
          <w:rFonts w:ascii="Times New Roman" w:hAnsi="Times New Roman" w:eastAsia="黑体" w:cs="Times New Roman"/>
          <w:snapToGrid w:val="0"/>
          <w:color w:val="000000" w:themeColor="text1"/>
          <w:kern w:val="0"/>
          <w:sz w:val="32"/>
          <w:szCs w:val="32"/>
          <w14:textFill>
            <w14:solidFill>
              <w14:schemeClr w14:val="tx1"/>
            </w14:solidFill>
          </w14:textFill>
        </w:rPr>
      </w:pPr>
      <w:r>
        <w:rPr>
          <w:rFonts w:ascii="Times New Roman" w:hAnsi="Times New Roman" w:eastAsia="黑体" w:cs="Times New Roman"/>
          <w:snapToGrid w:val="0"/>
          <w:color w:val="000000" w:themeColor="text1"/>
          <w:kern w:val="0"/>
          <w:sz w:val="32"/>
          <w:szCs w:val="32"/>
          <w14:textFill>
            <w14:solidFill>
              <w14:schemeClr w14:val="tx1"/>
            </w14:solidFill>
          </w14:textFill>
        </w:rPr>
        <w:t>三、组织机构</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b/>
          <w:snapToGrid w:val="0"/>
          <w:color w:val="000000" w:themeColor="text1"/>
          <w:kern w:val="0"/>
          <w:sz w:val="32"/>
          <w:szCs w:val="32"/>
          <w14:textFill>
            <w14:solidFill>
              <w14:schemeClr w14:val="tx1"/>
            </w14:solidFill>
          </w14:textFill>
        </w:rPr>
        <w:t>指导单位：</w:t>
      </w: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常州市创新委员会</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b/>
          <w:snapToGrid w:val="0"/>
          <w:color w:val="000000" w:themeColor="text1"/>
          <w:kern w:val="0"/>
          <w:sz w:val="32"/>
          <w:szCs w:val="32"/>
          <w14:textFill>
            <w14:solidFill>
              <w14:schemeClr w14:val="tx1"/>
            </w14:solidFill>
          </w14:textFill>
        </w:rPr>
        <w:t>主办单位：</w:t>
      </w: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常州市创新委员会办公室</w:t>
      </w:r>
    </w:p>
    <w:p>
      <w:pPr>
        <w:overflowPunct w:val="0"/>
        <w:autoSpaceDE w:val="0"/>
        <w:autoSpaceDN w:val="0"/>
        <w:adjustRightInd w:val="0"/>
        <w:snapToGrid w:val="0"/>
        <w:spacing w:line="550" w:lineRule="exact"/>
        <w:ind w:firstLine="2304" w:firstLineChars="720"/>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常州市科技局</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b/>
          <w:snapToGrid w:val="0"/>
          <w:color w:val="000000" w:themeColor="text1"/>
          <w:kern w:val="0"/>
          <w:sz w:val="32"/>
          <w:szCs w:val="32"/>
          <w14:textFill>
            <w14:solidFill>
              <w14:schemeClr w14:val="tx1"/>
            </w14:solidFill>
          </w14:textFill>
        </w:rPr>
        <w:t>协办单位：</w:t>
      </w: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常州市委组织部（市人才办）</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常州市委宣传部</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常州市委统战部（市侨办）</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常州科教城管委会</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常州市发改委</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常州市教育局</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常州市工信局</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常州市财政局</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常州市人社局</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常州市自然资源和规划局</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常州市金融监管局</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常州市总工会</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常州团市委</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常州市妇联</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常州市工商联</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常州市欧美同学会</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b/>
          <w:snapToGrid w:val="0"/>
          <w:color w:val="000000" w:themeColor="text1"/>
          <w:kern w:val="0"/>
          <w:sz w:val="32"/>
          <w:szCs w:val="32"/>
          <w14:textFill>
            <w14:solidFill>
              <w14:schemeClr w14:val="tx1"/>
            </w14:solidFill>
          </w14:textFill>
        </w:rPr>
        <w:t>承办单位：</w:t>
      </w: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常州市生产力发展中心</w:t>
      </w:r>
    </w:p>
    <w:p>
      <w:pPr>
        <w:overflowPunct w:val="0"/>
        <w:autoSpaceDE w:val="0"/>
        <w:autoSpaceDN w:val="0"/>
        <w:adjustRightInd w:val="0"/>
        <w:snapToGrid w:val="0"/>
        <w:spacing w:line="550" w:lineRule="exact"/>
        <w:ind w:firstLine="2265" w:firstLineChars="708"/>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常州市科技资源统筹服务中心</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b/>
          <w:snapToGrid w:val="0"/>
          <w:color w:val="000000" w:themeColor="text1"/>
          <w:kern w:val="0"/>
          <w:sz w:val="32"/>
          <w:szCs w:val="32"/>
          <w14:textFill>
            <w14:solidFill>
              <w14:schemeClr w14:val="tx1"/>
            </w14:solidFill>
          </w14:textFill>
        </w:rPr>
        <w:t>支持单位：</w:t>
      </w:r>
      <w:r>
        <w:rPr>
          <w:rFonts w:ascii="Times New Roman" w:hAnsi="Times New Roman" w:eastAsia="仿宋_GB2312" w:cs="Times New Roman"/>
          <w:snapToGrid w:val="0"/>
          <w:color w:val="000000" w:themeColor="text1"/>
          <w:kern w:val="0"/>
          <w:sz w:val="32"/>
          <w:szCs w:val="32"/>
          <w14:textFill>
            <w14:solidFill>
              <w14:schemeClr w14:val="tx1"/>
            </w14:solidFill>
          </w14:textFill>
        </w:rPr>
        <w:t>常州投资集团有限公司，各辖市、区科技局和常州经开区科技金融局，各高新区科技局</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b/>
          <w:snapToGrid w:val="0"/>
          <w:color w:val="000000" w:themeColor="text1"/>
          <w:kern w:val="0"/>
          <w:sz w:val="32"/>
          <w:szCs w:val="32"/>
          <w14:textFill>
            <w14:solidFill>
              <w14:schemeClr w14:val="tx1"/>
            </w14:solidFill>
          </w14:textFill>
        </w:rPr>
        <w:t>配合单位：</w:t>
      </w:r>
      <w:r>
        <w:rPr>
          <w:rFonts w:ascii="Times New Roman" w:hAnsi="Times New Roman" w:eastAsia="仿宋_GB2312" w:cs="Times New Roman"/>
          <w:snapToGrid w:val="0"/>
          <w:color w:val="000000" w:themeColor="text1"/>
          <w:kern w:val="0"/>
          <w:sz w:val="32"/>
          <w:szCs w:val="32"/>
          <w14:textFill>
            <w14:solidFill>
              <w14:schemeClr w14:val="tx1"/>
            </w14:solidFill>
          </w14:textFill>
        </w:rPr>
        <w:t>各有关科技园区，各众创空间、科技企业孵化器、加速器，科技服务机构、科技招商中心，各行业协会、产业技术创新战略联盟，中以、中德等国际合作产业园和技术转移机构</w:t>
      </w:r>
    </w:p>
    <w:p>
      <w:pPr>
        <w:overflowPunct w:val="0"/>
        <w:autoSpaceDE w:val="0"/>
        <w:autoSpaceDN w:val="0"/>
        <w:adjustRightInd w:val="0"/>
        <w:snapToGrid w:val="0"/>
        <w:spacing w:line="550" w:lineRule="exact"/>
        <w:ind w:firstLine="641"/>
        <w:rPr>
          <w:rFonts w:ascii="Times New Roman" w:hAnsi="Times New Roman" w:eastAsia="黑体" w:cs="Times New Roman"/>
          <w:snapToGrid w:val="0"/>
          <w:color w:val="000000" w:themeColor="text1"/>
          <w:kern w:val="0"/>
          <w:sz w:val="32"/>
          <w:szCs w:val="32"/>
          <w14:textFill>
            <w14:solidFill>
              <w14:schemeClr w14:val="tx1"/>
            </w14:solidFill>
          </w14:textFill>
        </w:rPr>
      </w:pPr>
      <w:r>
        <w:rPr>
          <w:rFonts w:ascii="Times New Roman" w:hAnsi="Times New Roman" w:eastAsia="黑体" w:cs="Times New Roman"/>
          <w:snapToGrid w:val="0"/>
          <w:color w:val="000000" w:themeColor="text1"/>
          <w:kern w:val="0"/>
          <w:sz w:val="32"/>
          <w:szCs w:val="32"/>
          <w14:textFill>
            <w14:solidFill>
              <w14:schemeClr w14:val="tx1"/>
            </w14:solidFill>
          </w14:textFill>
        </w:rPr>
        <w:t>四、参赛要求</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2022常州“国际智造”创新创业大赛（以下简称“大赛”）按照团队组、初创企业组和成长企业组进行比赛。结合我市“双招双引”工作需要，大赛重点支持领军型创新创业人才领衔参赛，鼓励我市“名城名校合作行创新创业赢未来”活动征集的入选项目、海外创业团队和创业项目等参赛。</w:t>
      </w:r>
    </w:p>
    <w:p>
      <w:pPr>
        <w:overflowPunct w:val="0"/>
        <w:autoSpaceDE w:val="0"/>
        <w:autoSpaceDN w:val="0"/>
        <w:adjustRightInd w:val="0"/>
        <w:snapToGrid w:val="0"/>
        <w:spacing w:line="550" w:lineRule="exact"/>
        <w:ind w:firstLine="640" w:firstLineChars="200"/>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为强化科技支撑疫情防控，本次大赛将优先支持在生物医药、医疗装备、人工智能、大数据、智能制造等领域，提供疫情防控解决方案的优秀创新创业项目，促进更多疫情防控科技成果在我市落地生根。</w:t>
      </w:r>
    </w:p>
    <w:p>
      <w:pPr>
        <w:overflowPunct w:val="0"/>
        <w:autoSpaceDE w:val="0"/>
        <w:autoSpaceDN w:val="0"/>
        <w:adjustRightInd w:val="0"/>
        <w:snapToGrid w:val="0"/>
        <w:spacing w:line="550" w:lineRule="exact"/>
        <w:ind w:firstLine="641"/>
        <w:rPr>
          <w:rFonts w:ascii="Times New Roman" w:hAnsi="Times New Roman" w:eastAsia="仿宋_GB2312" w:cs="Times New Roman"/>
          <w:i/>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参赛团队或企业如在申报材料、比赛过程中出现弄虚作假、侵犯知识产权等行为，不论处在大赛何种阶段或赛后，立即取消比赛资格、撤销所有奖项及奖励、取消市级相关科技计划申报资格、记入信用档案，并追究有关单位和人员相关法律责任。团队和企业报名时签订参赛承诺书，并作为附件资料上传至大赛报名平台。</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曾在前六届常州市创新创业大赛、前九届“创业江苏”科技创业大赛及前十届中国创新创业大赛总决赛获一、二、三等奖的团队或企业的研发内容相同或相近的项目不得参加本届大赛。</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每个参赛团队或企业限申报一个参赛项目。</w:t>
      </w:r>
    </w:p>
    <w:p>
      <w:pPr>
        <w:overflowPunct w:val="0"/>
        <w:autoSpaceDE w:val="0"/>
        <w:autoSpaceDN w:val="0"/>
        <w:adjustRightInd w:val="0"/>
        <w:snapToGrid w:val="0"/>
        <w:spacing w:line="550" w:lineRule="exact"/>
        <w:ind w:firstLine="641"/>
        <w:rPr>
          <w:rFonts w:ascii="Times New Roman" w:hAnsi="Times New Roman" w:eastAsia="楷体_GB2312" w:cs="Times New Roman"/>
          <w:b/>
          <w:snapToGrid w:val="0"/>
          <w:color w:val="000000" w:themeColor="text1"/>
          <w:kern w:val="0"/>
          <w:sz w:val="32"/>
          <w:szCs w:val="32"/>
          <w14:textFill>
            <w14:solidFill>
              <w14:schemeClr w14:val="tx1"/>
            </w14:solidFill>
          </w14:textFill>
        </w:rPr>
      </w:pPr>
      <w:r>
        <w:rPr>
          <w:rFonts w:ascii="Times New Roman" w:hAnsi="Times New Roman" w:eastAsia="楷体_GB2312" w:cs="Times New Roman"/>
          <w:b/>
          <w:snapToGrid w:val="0"/>
          <w:color w:val="000000" w:themeColor="text1"/>
          <w:kern w:val="0"/>
          <w:sz w:val="32"/>
          <w:szCs w:val="32"/>
          <w14:textFill>
            <w14:solidFill>
              <w14:schemeClr w14:val="tx1"/>
            </w14:solidFill>
          </w14:textFill>
        </w:rPr>
        <w:t>（一）团队组参赛条件</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设置团队组旨在鼓励海归创业者、科技人员、企业高管及连续创业者、大学生等各类青年创业者等在常创办企业，开展技术创新及商业模式创新，推动天使、创投资本与技术的结合，形成常州未来产业发展新动力。</w:t>
      </w:r>
    </w:p>
    <w:p>
      <w:pPr>
        <w:overflowPunct w:val="0"/>
        <w:autoSpaceDE w:val="0"/>
        <w:autoSpaceDN w:val="0"/>
        <w:adjustRightInd w:val="0"/>
        <w:snapToGrid w:val="0"/>
        <w:spacing w:line="550" w:lineRule="exact"/>
        <w:ind w:firstLine="641"/>
        <w:rPr>
          <w:rFonts w:ascii="Times New Roman" w:hAnsi="Times New Roman" w:eastAsia="仿宋_GB2312" w:cs="Times New Roman"/>
          <w:b/>
          <w:snapToGrid w:val="0"/>
          <w:color w:val="000000" w:themeColor="text1"/>
          <w:kern w:val="0"/>
          <w:sz w:val="32"/>
          <w:szCs w:val="32"/>
          <w14:textFill>
            <w14:solidFill>
              <w14:schemeClr w14:val="tx1"/>
            </w14:solidFill>
          </w14:textFill>
        </w:rPr>
      </w:pPr>
      <w:r>
        <w:rPr>
          <w:rFonts w:ascii="Times New Roman" w:hAnsi="Times New Roman" w:eastAsia="仿宋_GB2312" w:cs="Times New Roman"/>
          <w:b/>
          <w:snapToGrid w:val="0"/>
          <w:color w:val="000000" w:themeColor="text1"/>
          <w:kern w:val="0"/>
          <w:sz w:val="32"/>
          <w:szCs w:val="32"/>
          <w14:textFill>
            <w14:solidFill>
              <w14:schemeClr w14:val="tx1"/>
            </w14:solidFill>
          </w14:textFill>
        </w:rPr>
        <w:t>参赛条件：</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1</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参赛项目在报名截止前尚未在国内注册成立企业、拥有科技创新成果和创业计划的团队（如海外回国创业人员、进入创业实施阶段的优秀科技团队、大学生创业团队等）。</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2</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核心团队成员不少于3人。</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计划2022年11月30日前在我市注册成立企业。</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4</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参赛项目的产品、技术等归属参赛团队，相关知识产权权属人为核心团队成员，或核心团队成员通过受让、受赠等方式</w:t>
      </w:r>
      <w:r>
        <w:rPr>
          <w:rFonts w:ascii="Times New Roman" w:hAnsi="Times New Roman" w:eastAsia="仿宋_GB2312" w:cs="Times New Roman"/>
          <w:snapToGrid w:val="0"/>
          <w:color w:val="000000" w:themeColor="text1"/>
          <w:spacing w:val="-10"/>
          <w:kern w:val="0"/>
          <w:sz w:val="32"/>
          <w:szCs w:val="32"/>
          <w14:textFill>
            <w14:solidFill>
              <w14:schemeClr w14:val="tx1"/>
            </w14:solidFill>
          </w14:textFill>
        </w:rPr>
        <w:t>获得上述知识产权的所有权，与其他单位或个人无知识产权等纠纷。</w:t>
      </w:r>
    </w:p>
    <w:p>
      <w:pPr>
        <w:overflowPunct w:val="0"/>
        <w:autoSpaceDE w:val="0"/>
        <w:autoSpaceDN w:val="0"/>
        <w:adjustRightInd w:val="0"/>
        <w:snapToGrid w:val="0"/>
        <w:spacing w:line="550" w:lineRule="exact"/>
        <w:ind w:firstLine="641"/>
        <w:rPr>
          <w:rFonts w:ascii="Times New Roman" w:hAnsi="Times New Roman" w:eastAsia="楷体_GB2312" w:cs="Times New Roman"/>
          <w:b/>
          <w:snapToGrid w:val="0"/>
          <w:color w:val="000000" w:themeColor="text1"/>
          <w:kern w:val="0"/>
          <w:sz w:val="32"/>
          <w:szCs w:val="32"/>
          <w14:textFill>
            <w14:solidFill>
              <w14:schemeClr w14:val="tx1"/>
            </w14:solidFill>
          </w14:textFill>
        </w:rPr>
      </w:pPr>
      <w:r>
        <w:rPr>
          <w:rFonts w:ascii="Times New Roman" w:hAnsi="Times New Roman" w:eastAsia="楷体_GB2312" w:cs="Times New Roman"/>
          <w:b/>
          <w:snapToGrid w:val="0"/>
          <w:color w:val="000000" w:themeColor="text1"/>
          <w:kern w:val="0"/>
          <w:sz w:val="32"/>
          <w:szCs w:val="32"/>
          <w14:textFill>
            <w14:solidFill>
              <w14:schemeClr w14:val="tx1"/>
            </w14:solidFill>
          </w14:textFill>
        </w:rPr>
        <w:t>（二）企业组参赛条件</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设置企业组旨在加快推进高端科技人才创业，增强科技型中小企业技术创新能力，加快培育一批科技“小巨人”企业。</w:t>
      </w:r>
    </w:p>
    <w:p>
      <w:pPr>
        <w:overflowPunct w:val="0"/>
        <w:autoSpaceDE w:val="0"/>
        <w:autoSpaceDN w:val="0"/>
        <w:adjustRightInd w:val="0"/>
        <w:snapToGrid w:val="0"/>
        <w:spacing w:line="550" w:lineRule="exact"/>
        <w:ind w:firstLine="641"/>
        <w:rPr>
          <w:rFonts w:ascii="Times New Roman" w:hAnsi="Times New Roman" w:eastAsia="仿宋_GB2312" w:cs="Times New Roman"/>
          <w:b/>
          <w:snapToGrid w:val="0"/>
          <w:color w:val="000000" w:themeColor="text1"/>
          <w:kern w:val="0"/>
          <w:sz w:val="32"/>
          <w:szCs w:val="32"/>
          <w14:textFill>
            <w14:solidFill>
              <w14:schemeClr w14:val="tx1"/>
            </w14:solidFill>
          </w14:textFill>
        </w:rPr>
      </w:pPr>
      <w:r>
        <w:rPr>
          <w:rFonts w:ascii="Times New Roman" w:hAnsi="Times New Roman" w:eastAsia="仿宋_GB2312" w:cs="Times New Roman"/>
          <w:b/>
          <w:snapToGrid w:val="0"/>
          <w:color w:val="000000" w:themeColor="text1"/>
          <w:kern w:val="0"/>
          <w:sz w:val="32"/>
          <w:szCs w:val="32"/>
          <w14:textFill>
            <w14:solidFill>
              <w14:schemeClr w14:val="tx1"/>
            </w14:solidFill>
          </w14:textFill>
        </w:rPr>
        <w:t>参赛条件：</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1</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企业具有创新能力和高成长潜力，主要从事高新技术产品研发、制造、服务等业务。</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2</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至少拥有一项有效自主知识产权且无产权纠纷。</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企业经营规范、社会信誉良好、无不良记录，且为非上市企业。</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4</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企业组分初创企业组和成长企业组。工商注册</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日期</w:t>
      </w:r>
      <w:r>
        <w:rPr>
          <w:rFonts w:ascii="Times New Roman" w:hAnsi="Times New Roman" w:eastAsia="仿宋_GB2312" w:cs="Times New Roman"/>
          <w:snapToGrid w:val="0"/>
          <w:color w:val="000000" w:themeColor="text1"/>
          <w:kern w:val="0"/>
          <w:sz w:val="32"/>
          <w:szCs w:val="32"/>
          <w14:textFill>
            <w14:solidFill>
              <w14:schemeClr w14:val="tx1"/>
            </w14:solidFill>
          </w14:textFill>
        </w:rPr>
        <w:t>在2021年1月1日（含）之后的企业参加初创企业组比赛，其他企业参加成长企业组比赛。</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5</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企业2021年营业收入不超过2亿元人民币，企业工商注册地址在常州市境内。</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6</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报名截止前成长组企业需完成科技型中小企业备案信息填报并提交（暂不要求取得入库登记编号，登记网址：www.innofund.gov.cn）；对初创组企业不作此项要求</w:t>
      </w:r>
      <w:r>
        <w:rPr>
          <w:rFonts w:ascii="Times New Roman" w:hAnsi="Times New Roman" w:eastAsia="仿宋_GB2312" w:cs="Times New Roman"/>
          <w:snapToGrid w:val="0"/>
          <w:color w:val="000000" w:themeColor="text1"/>
          <w:kern w:val="0"/>
          <w:sz w:val="32"/>
          <w:szCs w:val="32"/>
          <w14:textFill>
            <w14:solidFill>
              <w14:schemeClr w14:val="tx1"/>
            </w14:solidFill>
          </w14:textFill>
        </w:rPr>
        <w:t>。</w:t>
      </w:r>
    </w:p>
    <w:p>
      <w:pPr>
        <w:overflowPunct w:val="0"/>
        <w:autoSpaceDE w:val="0"/>
        <w:autoSpaceDN w:val="0"/>
        <w:adjustRightInd w:val="0"/>
        <w:snapToGrid w:val="0"/>
        <w:spacing w:line="550" w:lineRule="exact"/>
        <w:ind w:firstLine="641"/>
        <w:rPr>
          <w:rFonts w:ascii="Times New Roman" w:hAnsi="Times New Roman" w:eastAsia="黑体" w:cs="Times New Roman"/>
          <w:snapToGrid w:val="0"/>
          <w:color w:val="000000" w:themeColor="text1"/>
          <w:kern w:val="0"/>
          <w:sz w:val="32"/>
          <w:szCs w:val="32"/>
          <w14:textFill>
            <w14:solidFill>
              <w14:schemeClr w14:val="tx1"/>
            </w14:solidFill>
          </w14:textFill>
        </w:rPr>
      </w:pPr>
      <w:r>
        <w:rPr>
          <w:rFonts w:ascii="Times New Roman" w:hAnsi="Times New Roman" w:eastAsia="黑体" w:cs="Times New Roman"/>
          <w:snapToGrid w:val="0"/>
          <w:color w:val="000000" w:themeColor="text1"/>
          <w:kern w:val="0"/>
          <w:sz w:val="32"/>
          <w:szCs w:val="32"/>
          <w14:textFill>
            <w14:solidFill>
              <w14:schemeClr w14:val="tx1"/>
            </w14:solidFill>
          </w14:textFill>
        </w:rPr>
        <w:t>五、赛事安排</w:t>
      </w:r>
    </w:p>
    <w:p>
      <w:pPr>
        <w:overflowPunct w:val="0"/>
        <w:autoSpaceDE w:val="0"/>
        <w:autoSpaceDN w:val="0"/>
        <w:adjustRightInd w:val="0"/>
        <w:snapToGrid w:val="0"/>
        <w:spacing w:line="550" w:lineRule="exact"/>
        <w:ind w:firstLine="641"/>
        <w:rPr>
          <w:rFonts w:ascii="Times New Roman" w:hAnsi="Times New Roman" w:eastAsia="楷体_GB2312" w:cs="Times New Roman"/>
          <w:b/>
          <w:snapToGrid w:val="0"/>
          <w:color w:val="000000" w:themeColor="text1"/>
          <w:kern w:val="0"/>
          <w:sz w:val="32"/>
          <w:szCs w:val="32"/>
          <w14:textFill>
            <w14:solidFill>
              <w14:schemeClr w14:val="tx1"/>
            </w14:solidFill>
          </w14:textFill>
        </w:rPr>
      </w:pPr>
      <w:r>
        <w:rPr>
          <w:rFonts w:ascii="Times New Roman" w:hAnsi="Times New Roman" w:eastAsia="楷体_GB2312" w:cs="Times New Roman"/>
          <w:b/>
          <w:snapToGrid w:val="0"/>
          <w:color w:val="000000" w:themeColor="text1"/>
          <w:kern w:val="0"/>
          <w:sz w:val="32"/>
          <w:szCs w:val="32"/>
          <w14:textFill>
            <w14:solidFill>
              <w14:schemeClr w14:val="tx1"/>
            </w14:solidFill>
          </w14:textFill>
        </w:rPr>
        <w:t>（一）工作部署</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2022年4月发布常州“国际智造”创新创业大赛通知和工作方案，布置各辖市、区和常州经开区组织参赛相关工作。</w:t>
      </w:r>
    </w:p>
    <w:p>
      <w:pPr>
        <w:overflowPunct w:val="0"/>
        <w:autoSpaceDE w:val="0"/>
        <w:autoSpaceDN w:val="0"/>
        <w:adjustRightInd w:val="0"/>
        <w:snapToGrid w:val="0"/>
        <w:spacing w:line="550" w:lineRule="exact"/>
        <w:ind w:firstLine="641"/>
        <w:rPr>
          <w:rFonts w:ascii="Times New Roman" w:hAnsi="Times New Roman" w:eastAsia="楷体_GB2312" w:cs="Times New Roman"/>
          <w:b/>
          <w:snapToGrid w:val="0"/>
          <w:color w:val="000000" w:themeColor="text1"/>
          <w:kern w:val="0"/>
          <w:sz w:val="32"/>
          <w:szCs w:val="32"/>
          <w14:textFill>
            <w14:solidFill>
              <w14:schemeClr w14:val="tx1"/>
            </w14:solidFill>
          </w14:textFill>
        </w:rPr>
      </w:pPr>
      <w:r>
        <w:rPr>
          <w:rFonts w:ascii="Times New Roman" w:hAnsi="Times New Roman" w:eastAsia="楷体_GB2312" w:cs="Times New Roman"/>
          <w:b/>
          <w:snapToGrid w:val="0"/>
          <w:color w:val="000000" w:themeColor="text1"/>
          <w:kern w:val="0"/>
          <w:sz w:val="32"/>
          <w:szCs w:val="32"/>
          <w14:textFill>
            <w14:solidFill>
              <w14:schemeClr w14:val="tx1"/>
            </w14:solidFill>
          </w14:textFill>
        </w:rPr>
        <w:t>（二）初赛</w:t>
      </w:r>
    </w:p>
    <w:p>
      <w:pPr>
        <w:overflowPunct w:val="0"/>
        <w:autoSpaceDE w:val="0"/>
        <w:autoSpaceDN w:val="0"/>
        <w:adjustRightInd w:val="0"/>
        <w:snapToGrid w:val="0"/>
        <w:spacing w:line="550" w:lineRule="exact"/>
        <w:ind w:firstLine="641"/>
        <w:rPr>
          <w:rFonts w:ascii="Times New Roman" w:hAnsi="Times New Roman" w:eastAsia="仿宋_GB2312" w:cs="Times New Roman"/>
          <w:b/>
          <w:snapToGrid w:val="0"/>
          <w:color w:val="000000" w:themeColor="text1"/>
          <w:kern w:val="0"/>
          <w:sz w:val="32"/>
          <w:szCs w:val="32"/>
          <w14:textFill>
            <w14:solidFill>
              <w14:schemeClr w14:val="tx1"/>
            </w14:solidFill>
          </w14:textFill>
        </w:rPr>
      </w:pPr>
      <w:r>
        <w:rPr>
          <w:rFonts w:ascii="Times New Roman" w:hAnsi="Times New Roman" w:eastAsia="仿宋_GB2312" w:cs="Times New Roman"/>
          <w:b/>
          <w:snapToGrid w:val="0"/>
          <w:color w:val="000000" w:themeColor="text1"/>
          <w:kern w:val="0"/>
          <w:sz w:val="32"/>
          <w:szCs w:val="32"/>
          <w14:textFill>
            <w14:solidFill>
              <w14:schemeClr w14:val="tx1"/>
            </w14:solidFill>
          </w14:textFill>
        </w:rPr>
        <w:t>1</w:t>
      </w:r>
      <w:r>
        <w:rPr>
          <w:rFonts w:hint="eastAsia" w:ascii="Times New Roman" w:hAnsi="Times New Roman" w:eastAsia="仿宋_GB2312" w:cs="Times New Roman"/>
          <w:b/>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b/>
          <w:snapToGrid w:val="0"/>
          <w:color w:val="000000" w:themeColor="text1"/>
          <w:kern w:val="0"/>
          <w:sz w:val="32"/>
          <w:szCs w:val="32"/>
          <w14:textFill>
            <w14:solidFill>
              <w14:schemeClr w14:val="tx1"/>
            </w14:solidFill>
          </w14:textFill>
        </w:rPr>
        <w:t>组织发动及项目征集</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常州市各辖市、区科技局和常州经开区科技金融局配合大赛承办单位做好组织发动和项目征集工作，市各行业协会及产业联盟、市级以上科技创业平台、科技园区等结合国家、省、市鼓励发展的产业领域积极动员符合条件的企业和团队报名参赛。自评符合参赛条件的团队和企业自愿登录常州市科学技术局网站的“常州市科技管理综合服务平台”（</w:t>
      </w:r>
      <w:r>
        <w:rPr>
          <w:rStyle w:val="9"/>
          <w:rFonts w:ascii="Times New Roman" w:hAnsi="Times New Roman" w:eastAsia="仿宋_GB2312" w:cs="Times New Roman"/>
          <w:snapToGrid w:val="0"/>
          <w:color w:val="000000" w:themeColor="text1"/>
          <w:kern w:val="0"/>
          <w:sz w:val="32"/>
          <w:szCs w:val="32"/>
          <w:u w:val="none"/>
          <w14:textFill>
            <w14:solidFill>
              <w14:schemeClr w14:val="tx1"/>
            </w14:solidFill>
          </w14:textFill>
        </w:rPr>
        <w:t>网址：kjj.changzhou.gov.cn</w:t>
      </w:r>
      <w:r>
        <w:rPr>
          <w:rFonts w:ascii="Times New Roman" w:hAnsi="Times New Roman" w:eastAsia="仿宋_GB2312" w:cs="Times New Roman"/>
          <w:snapToGrid w:val="0"/>
          <w:color w:val="000000" w:themeColor="text1"/>
          <w:kern w:val="0"/>
          <w:sz w:val="32"/>
          <w:szCs w:val="32"/>
          <w14:textFill>
            <w14:solidFill>
              <w14:schemeClr w14:val="tx1"/>
            </w14:solidFill>
          </w14:textFill>
        </w:rPr>
        <w:t>）创新创业大赛专栏中统一注册报名，按要求提交完整报名材料，并对所填信息的准确性和真实性负责。</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u w:val="single"/>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项目征集截止时间：2022年5月5日。</w:t>
      </w:r>
    </w:p>
    <w:p>
      <w:pPr>
        <w:overflowPunct w:val="0"/>
        <w:autoSpaceDE w:val="0"/>
        <w:autoSpaceDN w:val="0"/>
        <w:adjustRightInd w:val="0"/>
        <w:snapToGrid w:val="0"/>
        <w:spacing w:line="550" w:lineRule="exact"/>
        <w:ind w:firstLine="641"/>
        <w:rPr>
          <w:rFonts w:ascii="Times New Roman" w:hAnsi="Times New Roman" w:eastAsia="仿宋_GB2312" w:cs="Times New Roman"/>
          <w:b/>
          <w:snapToGrid w:val="0"/>
          <w:color w:val="000000" w:themeColor="text1"/>
          <w:kern w:val="0"/>
          <w:sz w:val="32"/>
          <w:szCs w:val="32"/>
          <w14:textFill>
            <w14:solidFill>
              <w14:schemeClr w14:val="tx1"/>
            </w14:solidFill>
          </w14:textFill>
        </w:rPr>
      </w:pPr>
      <w:r>
        <w:rPr>
          <w:rFonts w:ascii="Times New Roman" w:hAnsi="Times New Roman" w:eastAsia="仿宋_GB2312" w:cs="Times New Roman"/>
          <w:b/>
          <w:snapToGrid w:val="0"/>
          <w:color w:val="000000" w:themeColor="text1"/>
          <w:kern w:val="0"/>
          <w:sz w:val="32"/>
          <w:szCs w:val="32"/>
          <w14:textFill>
            <w14:solidFill>
              <w14:schemeClr w14:val="tx1"/>
            </w14:solidFill>
          </w14:textFill>
        </w:rPr>
        <w:t>2</w:t>
      </w:r>
      <w:r>
        <w:rPr>
          <w:rFonts w:hint="eastAsia" w:ascii="Times New Roman" w:hAnsi="Times New Roman" w:eastAsia="仿宋_GB2312" w:cs="Times New Roman"/>
          <w:b/>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b/>
          <w:snapToGrid w:val="0"/>
          <w:color w:val="000000" w:themeColor="text1"/>
          <w:kern w:val="0"/>
          <w:sz w:val="32"/>
          <w:szCs w:val="32"/>
          <w14:textFill>
            <w14:solidFill>
              <w14:schemeClr w14:val="tx1"/>
            </w14:solidFill>
          </w14:textFill>
        </w:rPr>
        <w:t>项目审查、推荐及受理</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报名截止后5日内，各辖市、区科技局和常州经开区科技金融局，常州科教城科技处，武进国家高新区、西太湖高新区科技局登录大赛管理系统，对照参赛条件，对辖区内已注册报名的项目进行形式审查和参赛资格确认，确认通过的报名项目统一推荐至常州市科技资源统筹服务中心受理，同时报送项目汇总表。经常州市科技资源统筹服务中心受理通过的报名项目为有效报名项目。</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截止时间：2022年5月10日。</w:t>
      </w:r>
    </w:p>
    <w:p>
      <w:pPr>
        <w:overflowPunct w:val="0"/>
        <w:autoSpaceDE w:val="0"/>
        <w:autoSpaceDN w:val="0"/>
        <w:adjustRightInd w:val="0"/>
        <w:snapToGrid w:val="0"/>
        <w:spacing w:line="550" w:lineRule="exact"/>
        <w:ind w:firstLine="641"/>
        <w:rPr>
          <w:rFonts w:ascii="Times New Roman" w:hAnsi="Times New Roman" w:eastAsia="仿宋_GB2312" w:cs="Times New Roman"/>
          <w:b/>
          <w:snapToGrid w:val="0"/>
          <w:color w:val="000000" w:themeColor="text1"/>
          <w:kern w:val="0"/>
          <w:sz w:val="32"/>
          <w:szCs w:val="32"/>
          <w14:textFill>
            <w14:solidFill>
              <w14:schemeClr w14:val="tx1"/>
            </w14:solidFill>
          </w14:textFill>
        </w:rPr>
      </w:pPr>
      <w:r>
        <w:rPr>
          <w:rFonts w:ascii="Times New Roman" w:hAnsi="Times New Roman" w:eastAsia="仿宋_GB2312" w:cs="Times New Roman"/>
          <w:b/>
          <w:snapToGrid w:val="0"/>
          <w:color w:val="000000" w:themeColor="text1"/>
          <w:kern w:val="0"/>
          <w:sz w:val="32"/>
          <w:szCs w:val="32"/>
          <w14:textFill>
            <w14:solidFill>
              <w14:schemeClr w14:val="tx1"/>
            </w14:solidFill>
          </w14:textFill>
        </w:rPr>
        <w:t>3</w:t>
      </w:r>
      <w:r>
        <w:rPr>
          <w:rFonts w:hint="eastAsia" w:ascii="Times New Roman" w:hAnsi="Times New Roman" w:eastAsia="仿宋_GB2312" w:cs="Times New Roman"/>
          <w:b/>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b/>
          <w:snapToGrid w:val="0"/>
          <w:color w:val="000000" w:themeColor="text1"/>
          <w:kern w:val="0"/>
          <w:sz w:val="32"/>
          <w:szCs w:val="32"/>
          <w14:textFill>
            <w14:solidFill>
              <w14:schemeClr w14:val="tx1"/>
            </w14:solidFill>
          </w14:textFill>
        </w:rPr>
        <w:t>初赛组织</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由大赛承办单位负责组织，以网络评审的方式进行，根据项目技术领域由评审专家分组评审并提出意见。常州市科学技术局根据评审意见确定入围决赛项目。入围决赛项目名单在常州市科学技术局网站公示。</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初赛截止时间：2022年5月30日。</w:t>
      </w:r>
    </w:p>
    <w:p>
      <w:pPr>
        <w:overflowPunct w:val="0"/>
        <w:autoSpaceDE w:val="0"/>
        <w:autoSpaceDN w:val="0"/>
        <w:adjustRightInd w:val="0"/>
        <w:snapToGrid w:val="0"/>
        <w:spacing w:line="550" w:lineRule="exact"/>
        <w:ind w:firstLine="641"/>
        <w:rPr>
          <w:rFonts w:ascii="Times New Roman" w:hAnsi="Times New Roman" w:eastAsia="楷体_GB2312" w:cs="Times New Roman"/>
          <w:b/>
          <w:snapToGrid w:val="0"/>
          <w:color w:val="000000" w:themeColor="text1"/>
          <w:kern w:val="0"/>
          <w:sz w:val="32"/>
          <w:szCs w:val="32"/>
          <w14:textFill>
            <w14:solidFill>
              <w14:schemeClr w14:val="tx1"/>
            </w14:solidFill>
          </w14:textFill>
        </w:rPr>
      </w:pPr>
      <w:r>
        <w:rPr>
          <w:rFonts w:ascii="Times New Roman" w:hAnsi="Times New Roman" w:eastAsia="楷体_GB2312" w:cs="Times New Roman"/>
          <w:b/>
          <w:snapToGrid w:val="0"/>
          <w:color w:val="000000" w:themeColor="text1"/>
          <w:kern w:val="0"/>
          <w:sz w:val="32"/>
          <w:szCs w:val="32"/>
          <w14:textFill>
            <w14:solidFill>
              <w14:schemeClr w14:val="tx1"/>
            </w14:solidFill>
          </w14:textFill>
        </w:rPr>
        <w:t>（三）决赛</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由大赛承办单位负责组织入围决赛的项目以路演及答辩的形式完成比赛，并分组汇总得分。专家综评组根据各组项目得分情况，讨论产生获奖建议名单。大赛承办单位组织专家对获奖建议名单中的团队和企业开展现场考察，经市科技局审核后确认大赛获奖名单。</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本届大赛设立一、二、三等奖及入围奖，其中：一、二、三等奖总数50项左右。获奖名单在常州市科学技术局网站与“创新常州”公众号公布。</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决赛时间：2022年6月20日。</w:t>
      </w:r>
    </w:p>
    <w:p>
      <w:pPr>
        <w:overflowPunct w:val="0"/>
        <w:autoSpaceDE w:val="0"/>
        <w:autoSpaceDN w:val="0"/>
        <w:adjustRightInd w:val="0"/>
        <w:snapToGrid w:val="0"/>
        <w:spacing w:line="550" w:lineRule="exact"/>
        <w:ind w:firstLine="641"/>
        <w:rPr>
          <w:rFonts w:ascii="Times New Roman" w:hAnsi="Times New Roman" w:eastAsia="黑体" w:cs="Times New Roman"/>
          <w:snapToGrid w:val="0"/>
          <w:color w:val="000000" w:themeColor="text1"/>
          <w:kern w:val="0"/>
          <w:sz w:val="32"/>
          <w:szCs w:val="32"/>
          <w14:textFill>
            <w14:solidFill>
              <w14:schemeClr w14:val="tx1"/>
            </w14:solidFill>
          </w14:textFill>
        </w:rPr>
      </w:pPr>
      <w:r>
        <w:rPr>
          <w:rFonts w:ascii="Times New Roman" w:hAnsi="Times New Roman" w:eastAsia="黑体" w:cs="Times New Roman"/>
          <w:snapToGrid w:val="0"/>
          <w:color w:val="000000" w:themeColor="text1"/>
          <w:kern w:val="0"/>
          <w:sz w:val="32"/>
          <w:szCs w:val="32"/>
          <w14:textFill>
            <w14:solidFill>
              <w14:schemeClr w14:val="tx1"/>
            </w14:solidFill>
          </w14:textFill>
        </w:rPr>
        <w:t>六、支持政策</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（一）对大赛获奖项目，我市提供以下政策支持：</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1</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获奖项目颁发荣誉证书。</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2</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获得一、二、三等奖的团队和企业，分别奖励20万元、10万元、5万元/项。获奖团队需于2022年11月30日（含）前在常州市境内注册成立企业（团队核心成员为该企业法定代表人或主要股东），相应奖金依申请发放至该企业账户。</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获得一、二、三等奖的企业（含获奖团队注册的企业）除获得奖金外，还将获得下一年度常州市重点研发计划、科技成果转化项目的申报名额（不占用所在区域的申报限额，但需符合下一年度的计划指南与申报通知要求）。对同一年度获常州市重点研发计划支持的企业，不再发放奖金。</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4</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对获得一、二、三等奖项目的女性主要负责人，由市妇联授予市级巾帼建功标兵荣誉称号。</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5</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获奖项目优先向市龙城英才计划等推荐。</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6</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申报常州“国际智造”创新创业大赛的项目，推荐参加中国创新创业大赛、“创业江苏”科技创业大赛。</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7</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配套政策支持。按规定享受市有关创新、创业政策的支持。鼓励各辖市、区给予相应配套政策支持。对于在我市各类科技园区、创业平台落地孵化的参赛创业团队，鼓励所在科技园区、创业平台提供直接财政资助、减免房租等优惠政策。</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8</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 xml:space="preserve">. </w:t>
      </w:r>
      <w:r>
        <w:rPr>
          <w:rFonts w:ascii="Times New Roman" w:hAnsi="Times New Roman" w:eastAsia="仿宋_GB2312" w:cs="Times New Roman"/>
          <w:snapToGrid w:val="0"/>
          <w:color w:val="000000" w:themeColor="text1"/>
          <w:kern w:val="0"/>
          <w:sz w:val="32"/>
          <w:szCs w:val="32"/>
          <w14:textFill>
            <w14:solidFill>
              <w14:schemeClr w14:val="tx1"/>
            </w14:solidFill>
          </w14:textFill>
        </w:rPr>
        <w:t>鼓励天使及创业投资机构对参赛团队和企业项目进行投资，对获得天使及创业投资支持的，龙城英才计划优先予以立项支持。鼓励各商业银行科技支行对参赛企业项目给予融资支持。</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二）设立“优秀组织奖”10项左右，对大赛中组织和推荐参赛团队和企业数量较多、项目质量优秀的科技创业孵化载体、科技招商中心、科技服务机构等单位给予奖励（科技创业孵化载体、科技服务机构须备案为“常州市科技服务机构”）。另对“双招双引”工作成效突出，推荐企业、项目优秀的区域科技部门予以荣誉表彰。</w:t>
      </w:r>
    </w:p>
    <w:p>
      <w:pPr>
        <w:overflowPunct w:val="0"/>
        <w:autoSpaceDE w:val="0"/>
        <w:autoSpaceDN w:val="0"/>
        <w:adjustRightInd w:val="0"/>
        <w:snapToGrid w:val="0"/>
        <w:spacing w:line="550" w:lineRule="exact"/>
        <w:ind w:firstLine="641"/>
        <w:rPr>
          <w:rFonts w:ascii="Times New Roman" w:hAnsi="Times New Roman" w:eastAsia="黑体" w:cs="Times New Roman"/>
          <w:snapToGrid w:val="0"/>
          <w:color w:val="000000" w:themeColor="text1"/>
          <w:kern w:val="0"/>
          <w:sz w:val="32"/>
          <w:szCs w:val="32"/>
          <w14:textFill>
            <w14:solidFill>
              <w14:schemeClr w14:val="tx1"/>
            </w14:solidFill>
          </w14:textFill>
        </w:rPr>
      </w:pPr>
      <w:r>
        <w:rPr>
          <w:rFonts w:ascii="Times New Roman" w:hAnsi="Times New Roman" w:eastAsia="黑体" w:cs="Times New Roman"/>
          <w:snapToGrid w:val="0"/>
          <w:color w:val="000000" w:themeColor="text1"/>
          <w:kern w:val="0"/>
          <w:sz w:val="32"/>
          <w:szCs w:val="32"/>
          <w14:textFill>
            <w14:solidFill>
              <w14:schemeClr w14:val="tx1"/>
            </w14:solidFill>
          </w14:textFill>
        </w:rPr>
        <w:t>七、评选规则</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参照中国创新创业大赛、“创业江苏”科技创业大赛的评审规则及评选标准，常州“国际智造”创新创业大赛制定统一的评审规则及评选标准，对参赛的团队和企业项目进行评选，并遵循“公开、公平、公正、竞争择优”的原则，进行赛事评价。</w:t>
      </w:r>
    </w:p>
    <w:p>
      <w:pPr>
        <w:overflowPunct w:val="0"/>
        <w:autoSpaceDE w:val="0"/>
        <w:autoSpaceDN w:val="0"/>
        <w:adjustRightInd w:val="0"/>
        <w:snapToGrid w:val="0"/>
        <w:spacing w:line="550" w:lineRule="exact"/>
        <w:ind w:firstLine="641"/>
        <w:rPr>
          <w:rFonts w:ascii="Times New Roman" w:hAnsi="Times New Roman" w:eastAsia="黑体" w:cs="Times New Roman"/>
          <w:snapToGrid w:val="0"/>
          <w:color w:val="000000" w:themeColor="text1"/>
          <w:kern w:val="0"/>
          <w:sz w:val="32"/>
          <w:szCs w:val="32"/>
          <w14:textFill>
            <w14:solidFill>
              <w14:schemeClr w14:val="tx1"/>
            </w14:solidFill>
          </w14:textFill>
        </w:rPr>
      </w:pPr>
      <w:r>
        <w:rPr>
          <w:rFonts w:ascii="Times New Roman" w:hAnsi="Times New Roman" w:eastAsia="黑体" w:cs="Times New Roman"/>
          <w:snapToGrid w:val="0"/>
          <w:color w:val="000000" w:themeColor="text1"/>
          <w:kern w:val="0"/>
          <w:sz w:val="32"/>
          <w:szCs w:val="32"/>
          <w14:textFill>
            <w14:solidFill>
              <w14:schemeClr w14:val="tx1"/>
            </w14:solidFill>
          </w14:textFill>
        </w:rPr>
        <w:t>八、相关赛事</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2022年大赛将增设专题行业赛、高等教育和职业教育创新创业大赛等专项赛事，比赛方案另行制定和公布。</w:t>
      </w:r>
    </w:p>
    <w:p>
      <w:pPr>
        <w:overflowPunct w:val="0"/>
        <w:autoSpaceDE w:val="0"/>
        <w:autoSpaceDN w:val="0"/>
        <w:adjustRightInd w:val="0"/>
        <w:snapToGrid w:val="0"/>
        <w:spacing w:line="550" w:lineRule="exact"/>
        <w:ind w:firstLine="641"/>
        <w:rPr>
          <w:rFonts w:ascii="Times New Roman" w:hAnsi="Times New Roman" w:eastAsia="黑体" w:cs="Times New Roman"/>
          <w:snapToGrid w:val="0"/>
          <w:color w:val="000000" w:themeColor="text1"/>
          <w:kern w:val="0"/>
          <w:sz w:val="32"/>
          <w:szCs w:val="32"/>
          <w14:textFill>
            <w14:solidFill>
              <w14:schemeClr w14:val="tx1"/>
            </w14:solidFill>
          </w14:textFill>
        </w:rPr>
      </w:pPr>
      <w:r>
        <w:rPr>
          <w:rFonts w:ascii="Times New Roman" w:hAnsi="Times New Roman" w:eastAsia="黑体" w:cs="Times New Roman"/>
          <w:snapToGrid w:val="0"/>
          <w:color w:val="000000" w:themeColor="text1"/>
          <w:kern w:val="0"/>
          <w:sz w:val="32"/>
          <w:szCs w:val="32"/>
          <w14:textFill>
            <w14:solidFill>
              <w14:schemeClr w14:val="tx1"/>
            </w14:solidFill>
          </w14:textFill>
        </w:rPr>
        <w:t>九、宣传及推广</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为进一步营造科技创新创业氛围，加大大赛宣传力度，大赛承办单位通过常州市科学技术局网站、“创新常州”公众号等媒体及时发布大赛相关信息；各协办、支持和配合单位，各辖市、区和常州经开区积极配合做好大赛宣传工作；在大赛组织发动和项目征集阶段通过报纸、网络与海报等方式进行广泛宣传，吸引全市各界参与和关注，并围绕赛事组织全过程，持续做好宣传工作；邀请各大主流媒体对大赛开展全方位宣传推介，对大赛获奖团队和企业的创业故事进行跟踪报道，对大赛过程及结果进行广泛宣</w:t>
      </w:r>
      <w:r>
        <w:rPr>
          <w:rFonts w:ascii="Times New Roman" w:hAnsi="Times New Roman" w:eastAsia="仿宋_GB2312" w:cs="Times New Roman"/>
          <w:snapToGrid w:val="0"/>
          <w:color w:val="000000" w:themeColor="text1"/>
          <w:spacing w:val="-10"/>
          <w:kern w:val="0"/>
          <w:sz w:val="32"/>
          <w:szCs w:val="32"/>
          <w14:textFill>
            <w14:solidFill>
              <w14:schemeClr w14:val="tx1"/>
            </w14:solidFill>
          </w14:textFill>
        </w:rPr>
        <w:t>传，提高科技创新创业社会认知度，营造科技创新创业的浓厚氛围。</w:t>
      </w:r>
    </w:p>
    <w:p>
      <w:pPr>
        <w:overflowPunct w:val="0"/>
        <w:autoSpaceDE w:val="0"/>
        <w:autoSpaceDN w:val="0"/>
        <w:adjustRightInd w:val="0"/>
        <w:snapToGrid w:val="0"/>
        <w:spacing w:line="550" w:lineRule="exact"/>
        <w:ind w:firstLine="641"/>
        <w:rPr>
          <w:rFonts w:ascii="Times New Roman" w:hAnsi="Times New Roman" w:eastAsia="仿宋_GB2312" w:cs="Times New Roman"/>
          <w:snapToGrid w:val="0"/>
          <w:color w:val="000000" w:themeColor="text1"/>
          <w:kern w:val="0"/>
          <w:sz w:val="32"/>
          <w:szCs w:val="32"/>
          <w14:textFill>
            <w14:solidFill>
              <w14:schemeClr w14:val="tx1"/>
            </w14:solidFill>
          </w14:textFill>
        </w:rPr>
      </w:pPr>
    </w:p>
    <w:p>
      <w:pPr>
        <w:overflowPunct w:val="0"/>
        <w:autoSpaceDE w:val="0"/>
        <w:autoSpaceDN w:val="0"/>
        <w:adjustRightInd w:val="0"/>
        <w:snapToGrid w:val="0"/>
        <w:spacing w:line="550" w:lineRule="exact"/>
        <w:ind w:firstLine="640" w:firstLineChars="200"/>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附件：2022常州“国际智造”创新创业大赛各区域最低有效报</w:t>
      </w:r>
    </w:p>
    <w:p>
      <w:pPr>
        <w:overflowPunct w:val="0"/>
        <w:autoSpaceDE w:val="0"/>
        <w:autoSpaceDN w:val="0"/>
        <w:adjustRightInd w:val="0"/>
        <w:snapToGrid w:val="0"/>
        <w:spacing w:line="550" w:lineRule="exact"/>
        <w:ind w:firstLine="1523" w:firstLineChars="476"/>
        <w:rPr>
          <w:rFonts w:ascii="Times New Roman" w:hAnsi="Times New Roman" w:eastAsia="仿宋_GB2312" w:cs="Times New Roman"/>
          <w:snapToGrid w:val="0"/>
          <w:color w:val="000000" w:themeColor="text1"/>
          <w:kern w:val="0"/>
          <w:sz w:val="32"/>
          <w:szCs w:val="32"/>
          <w14:textFill>
            <w14:solidFill>
              <w14:schemeClr w14:val="tx1"/>
            </w14:solidFill>
          </w14:textFill>
        </w:rPr>
      </w:pPr>
      <w:r>
        <w:rPr>
          <w:rFonts w:ascii="Times New Roman" w:hAnsi="Times New Roman" w:eastAsia="仿宋_GB2312" w:cs="Times New Roman"/>
          <w:snapToGrid w:val="0"/>
          <w:color w:val="000000" w:themeColor="text1"/>
          <w:kern w:val="0"/>
          <w:sz w:val="32"/>
          <w:szCs w:val="32"/>
          <w14:textFill>
            <w14:solidFill>
              <w14:schemeClr w14:val="tx1"/>
            </w14:solidFill>
          </w14:textFill>
        </w:rPr>
        <w:t>名项目组织名额</w:t>
      </w:r>
    </w:p>
    <w:p>
      <w:pPr>
        <w:wordWrap w:val="0"/>
        <w:adjustRightInd w:val="0"/>
        <w:snapToGrid w:val="0"/>
        <w:spacing w:line="560" w:lineRule="exact"/>
        <w:rPr>
          <w:rFonts w:ascii="Times New Roman" w:hAnsi="Times New Roman" w:eastAsia="黑体" w:cs="Times New Roman"/>
          <w:snapToGrid w:val="0"/>
          <w:color w:val="000000" w:themeColor="text1"/>
          <w:sz w:val="32"/>
          <w:szCs w:val="32"/>
          <w14:textFill>
            <w14:solidFill>
              <w14:schemeClr w14:val="tx1"/>
            </w14:solidFill>
          </w14:textFill>
        </w:rPr>
      </w:pPr>
      <w:r>
        <w:rPr>
          <w:rFonts w:ascii="Times New Roman" w:hAnsi="Times New Roman" w:eastAsia="仿宋_GB2312" w:cs="Times New Roman"/>
          <w:snapToGrid w:val="0"/>
          <w:color w:val="000000" w:themeColor="text1"/>
          <w:sz w:val="32"/>
          <w:szCs w:val="32"/>
          <w14:textFill>
            <w14:solidFill>
              <w14:schemeClr w14:val="tx1"/>
            </w14:solidFill>
          </w14:textFill>
        </w:rPr>
        <w:br w:type="page"/>
      </w:r>
      <w:r>
        <w:rPr>
          <w:rFonts w:ascii="Times New Roman" w:hAnsi="Times New Roman" w:eastAsia="黑体" w:cs="Times New Roman"/>
          <w:snapToGrid w:val="0"/>
          <w:color w:val="000000" w:themeColor="text1"/>
          <w:sz w:val="32"/>
          <w:szCs w:val="32"/>
          <w14:textFill>
            <w14:solidFill>
              <w14:schemeClr w14:val="tx1"/>
            </w14:solidFill>
          </w14:textFill>
        </w:rPr>
        <w:t>附件</w:t>
      </w:r>
    </w:p>
    <w:p>
      <w:pPr>
        <w:adjustRightInd w:val="0"/>
        <w:snapToGrid w:val="0"/>
        <w:spacing w:line="400" w:lineRule="exact"/>
        <w:jc w:val="center"/>
        <w:rPr>
          <w:rFonts w:ascii="Times New Roman" w:hAnsi="Times New Roman" w:eastAsia="黑体" w:cs="Times New Roman"/>
          <w:snapToGrid w:val="0"/>
          <w:color w:val="000000" w:themeColor="text1"/>
          <w14:textFill>
            <w14:solidFill>
              <w14:schemeClr w14:val="tx1"/>
            </w14:solidFill>
          </w14:textFill>
        </w:rPr>
      </w:pPr>
    </w:p>
    <w:p>
      <w:pPr>
        <w:spacing w:line="570" w:lineRule="exact"/>
        <w:jc w:val="center"/>
        <w:rPr>
          <w:rFonts w:ascii="方正小标宋简体" w:hAnsi="Times New Roman" w:eastAsia="方正小标宋简体" w:cs="Times New Roman"/>
          <w:color w:val="000000" w:themeColor="text1"/>
          <w:sz w:val="44"/>
          <w14:textFill>
            <w14:solidFill>
              <w14:schemeClr w14:val="tx1"/>
            </w14:solidFill>
          </w14:textFill>
        </w:rPr>
      </w:pPr>
      <w:r>
        <w:rPr>
          <w:rFonts w:hint="eastAsia" w:ascii="方正小标宋简体" w:hAnsi="Times New Roman" w:eastAsia="方正小标宋简体" w:cs="Times New Roman"/>
          <w:color w:val="000000" w:themeColor="text1"/>
          <w:sz w:val="44"/>
          <w14:textFill>
            <w14:solidFill>
              <w14:schemeClr w14:val="tx1"/>
            </w14:solidFill>
          </w14:textFill>
        </w:rPr>
        <w:t>2022常州“国际智造”创新创业大赛</w:t>
      </w:r>
    </w:p>
    <w:p>
      <w:pPr>
        <w:spacing w:line="570" w:lineRule="exact"/>
        <w:jc w:val="center"/>
        <w:rPr>
          <w:rFonts w:ascii="方正小标宋简体" w:hAnsi="Times New Roman" w:eastAsia="方正小标宋简体" w:cs="Times New Roman"/>
          <w:color w:val="000000" w:themeColor="text1"/>
          <w:sz w:val="44"/>
          <w14:textFill>
            <w14:solidFill>
              <w14:schemeClr w14:val="tx1"/>
            </w14:solidFill>
          </w14:textFill>
        </w:rPr>
      </w:pPr>
      <w:r>
        <w:rPr>
          <w:rFonts w:hint="eastAsia" w:ascii="方正小标宋简体" w:hAnsi="Times New Roman" w:eastAsia="方正小标宋简体" w:cs="Times New Roman"/>
          <w:color w:val="000000" w:themeColor="text1"/>
          <w:sz w:val="44"/>
          <w14:textFill>
            <w14:solidFill>
              <w14:schemeClr w14:val="tx1"/>
            </w14:solidFill>
          </w14:textFill>
        </w:rPr>
        <w:t>各区域最低有效报名项目组织名额</w:t>
      </w:r>
    </w:p>
    <w:p>
      <w:pPr>
        <w:spacing w:line="400" w:lineRule="exact"/>
        <w:jc w:val="center"/>
        <w:rPr>
          <w:rFonts w:ascii="Times New Roman" w:hAnsi="Times New Roman" w:eastAsia="方正小标宋简体" w:cs="Times New Roman"/>
          <w:color w:val="000000" w:themeColor="text1"/>
          <w:sz w:val="28"/>
          <w14:textFill>
            <w14:solidFill>
              <w14:schemeClr w14:val="tx1"/>
            </w14:solidFill>
          </w14:textFill>
        </w:rPr>
      </w:pPr>
    </w:p>
    <w:tbl>
      <w:tblPr>
        <w:tblStyle w:val="5"/>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278"/>
        <w:gridCol w:w="37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5278" w:type="dxa"/>
            <w:noWrap/>
            <w:vAlign w:val="center"/>
          </w:tcPr>
          <w:p>
            <w:pPr>
              <w:spacing w:line="38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区</w:t>
            </w:r>
            <w:r>
              <w:rPr>
                <w:rFonts w:hint="eastAsia" w:ascii="Times New Roman" w:hAnsi="Times New Roman" w:eastAsia="黑体" w:cs="Times New Roman"/>
                <w:color w:val="000000" w:themeColor="text1"/>
                <w:sz w:val="28"/>
                <w:szCs w:val="28"/>
                <w14:textFill>
                  <w14:solidFill>
                    <w14:schemeClr w14:val="tx1"/>
                  </w14:solidFill>
                </w14:textFill>
              </w:rPr>
              <w:t xml:space="preserve">  </w:t>
            </w:r>
            <w:r>
              <w:rPr>
                <w:rFonts w:ascii="Times New Roman" w:hAnsi="Times New Roman" w:eastAsia="黑体" w:cs="Times New Roman"/>
                <w:color w:val="000000" w:themeColor="text1"/>
                <w:sz w:val="28"/>
                <w:szCs w:val="28"/>
                <w14:textFill>
                  <w14:solidFill>
                    <w14:schemeClr w14:val="tx1"/>
                  </w14:solidFill>
                </w14:textFill>
              </w:rPr>
              <w:t>域</w:t>
            </w:r>
          </w:p>
        </w:tc>
        <w:tc>
          <w:tcPr>
            <w:tcW w:w="3794" w:type="dxa"/>
            <w:noWrap/>
            <w:vAlign w:val="center"/>
          </w:tcPr>
          <w:p>
            <w:pPr>
              <w:spacing w:line="38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2022年最低有效报名</w:t>
            </w:r>
          </w:p>
          <w:p>
            <w:pPr>
              <w:spacing w:line="38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项目组织名额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78" w:type="dxa"/>
            <w:noWrap/>
            <w:vAlign w:val="center"/>
          </w:tcPr>
          <w:p>
            <w:pPr>
              <w:spacing w:line="400" w:lineRule="exact"/>
              <w:ind w:left="296" w:leftChars="141"/>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溧阳市</w:t>
            </w:r>
          </w:p>
        </w:tc>
        <w:tc>
          <w:tcPr>
            <w:tcW w:w="3794" w:type="dxa"/>
            <w:noWrap/>
            <w:vAlign w:val="center"/>
          </w:tcPr>
          <w:p>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78" w:type="dxa"/>
            <w:noWrap/>
            <w:vAlign w:val="center"/>
          </w:tcPr>
          <w:p>
            <w:pPr>
              <w:spacing w:line="400" w:lineRule="exact"/>
              <w:ind w:left="296" w:leftChars="141"/>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金坛区</w:t>
            </w:r>
          </w:p>
        </w:tc>
        <w:tc>
          <w:tcPr>
            <w:tcW w:w="3794" w:type="dxa"/>
            <w:noWrap/>
            <w:vAlign w:val="center"/>
          </w:tcPr>
          <w:p>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78" w:type="dxa"/>
            <w:noWrap/>
            <w:vAlign w:val="center"/>
          </w:tcPr>
          <w:p>
            <w:pPr>
              <w:spacing w:line="400" w:lineRule="exact"/>
              <w:ind w:left="296" w:leftChars="141"/>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武进区：</w:t>
            </w:r>
          </w:p>
        </w:tc>
        <w:tc>
          <w:tcPr>
            <w:tcW w:w="3794" w:type="dxa"/>
            <w:noWrap/>
            <w:vAlign w:val="center"/>
          </w:tcPr>
          <w:p>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78" w:type="dxa"/>
            <w:noWrap/>
            <w:vAlign w:val="center"/>
          </w:tcPr>
          <w:p>
            <w:pPr>
              <w:spacing w:line="400" w:lineRule="exact"/>
              <w:ind w:left="296" w:leftChars="141" w:firstLine="280" w:firstLineChars="1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武进高新区：</w:t>
            </w:r>
          </w:p>
        </w:tc>
        <w:tc>
          <w:tcPr>
            <w:tcW w:w="3794" w:type="dxa"/>
            <w:noWrap/>
            <w:vAlign w:val="center"/>
          </w:tcPr>
          <w:p>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78" w:type="dxa"/>
            <w:noWrap/>
            <w:vAlign w:val="center"/>
          </w:tcPr>
          <w:p>
            <w:pPr>
              <w:spacing w:line="400" w:lineRule="exact"/>
              <w:ind w:firstLine="840" w:firstLineChars="3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中以常州创新园</w:t>
            </w:r>
          </w:p>
        </w:tc>
        <w:tc>
          <w:tcPr>
            <w:tcW w:w="3794" w:type="dxa"/>
            <w:noWrap/>
            <w:vAlign w:val="center"/>
          </w:tcPr>
          <w:p>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78" w:type="dxa"/>
            <w:noWrap/>
            <w:vAlign w:val="center"/>
          </w:tcPr>
          <w:p>
            <w:pPr>
              <w:spacing w:line="400" w:lineRule="exact"/>
              <w:ind w:left="296" w:leftChars="141" w:firstLine="280" w:firstLineChars="1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西太湖科技产业园</w:t>
            </w:r>
          </w:p>
        </w:tc>
        <w:tc>
          <w:tcPr>
            <w:tcW w:w="3794" w:type="dxa"/>
            <w:noWrap/>
            <w:vAlign w:val="center"/>
          </w:tcPr>
          <w:p>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78" w:type="dxa"/>
            <w:noWrap/>
            <w:vAlign w:val="center"/>
          </w:tcPr>
          <w:p>
            <w:pPr>
              <w:spacing w:line="400" w:lineRule="exact"/>
              <w:ind w:left="296" w:leftChars="141" w:firstLine="280" w:firstLineChars="1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常州科教城：</w:t>
            </w:r>
          </w:p>
        </w:tc>
        <w:tc>
          <w:tcPr>
            <w:tcW w:w="3794" w:type="dxa"/>
            <w:noWrap/>
            <w:vAlign w:val="center"/>
          </w:tcPr>
          <w:p>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78" w:type="dxa"/>
            <w:noWrap/>
            <w:vAlign w:val="center"/>
          </w:tcPr>
          <w:p>
            <w:pPr>
              <w:spacing w:line="400" w:lineRule="exact"/>
              <w:ind w:firstLine="840" w:firstLineChars="3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中德创新园</w:t>
            </w:r>
          </w:p>
        </w:tc>
        <w:tc>
          <w:tcPr>
            <w:tcW w:w="3794" w:type="dxa"/>
            <w:noWrap/>
            <w:vAlign w:val="center"/>
          </w:tcPr>
          <w:p>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78" w:type="dxa"/>
            <w:noWrap/>
            <w:vAlign w:val="center"/>
          </w:tcPr>
          <w:p>
            <w:pPr>
              <w:spacing w:line="400" w:lineRule="exact"/>
              <w:ind w:left="296" w:leftChars="141"/>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新北区</w:t>
            </w:r>
          </w:p>
        </w:tc>
        <w:tc>
          <w:tcPr>
            <w:tcW w:w="3794" w:type="dxa"/>
            <w:noWrap/>
            <w:vAlign w:val="center"/>
          </w:tcPr>
          <w:p>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78" w:type="dxa"/>
            <w:noWrap/>
            <w:vAlign w:val="center"/>
          </w:tcPr>
          <w:p>
            <w:pPr>
              <w:spacing w:line="400" w:lineRule="exact"/>
              <w:ind w:left="296" w:leftChars="141"/>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天宁区</w:t>
            </w:r>
          </w:p>
        </w:tc>
        <w:tc>
          <w:tcPr>
            <w:tcW w:w="3794" w:type="dxa"/>
            <w:noWrap/>
            <w:vAlign w:val="center"/>
          </w:tcPr>
          <w:p>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78" w:type="dxa"/>
            <w:noWrap/>
            <w:vAlign w:val="center"/>
          </w:tcPr>
          <w:p>
            <w:pPr>
              <w:spacing w:line="400" w:lineRule="exact"/>
              <w:ind w:left="296" w:leftChars="141"/>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钟楼区</w:t>
            </w:r>
          </w:p>
        </w:tc>
        <w:tc>
          <w:tcPr>
            <w:tcW w:w="3794" w:type="dxa"/>
            <w:noWrap/>
            <w:vAlign w:val="center"/>
          </w:tcPr>
          <w:p>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78" w:type="dxa"/>
            <w:noWrap/>
            <w:vAlign w:val="center"/>
          </w:tcPr>
          <w:p>
            <w:pPr>
              <w:spacing w:line="400" w:lineRule="exact"/>
              <w:ind w:left="296" w:leftChars="141"/>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常州经开区</w:t>
            </w:r>
          </w:p>
        </w:tc>
        <w:tc>
          <w:tcPr>
            <w:tcW w:w="3794" w:type="dxa"/>
            <w:noWrap/>
            <w:vAlign w:val="center"/>
          </w:tcPr>
          <w:p>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278" w:type="dxa"/>
            <w:noWrap/>
            <w:vAlign w:val="center"/>
          </w:tcPr>
          <w:p>
            <w:pPr>
              <w:spacing w:line="400" w:lineRule="exact"/>
              <w:ind w:left="296" w:leftChars="141"/>
              <w:jc w:val="center"/>
              <w:rPr>
                <w:rFonts w:ascii="黑体" w:hAnsi="黑体" w:eastAsia="黑体" w:cs="Times New Roman"/>
                <w:color w:val="000000" w:themeColor="text1"/>
                <w:sz w:val="28"/>
                <w:szCs w:val="28"/>
                <w14:textFill>
                  <w14:solidFill>
                    <w14:schemeClr w14:val="tx1"/>
                  </w14:solidFill>
                </w14:textFill>
              </w:rPr>
            </w:pPr>
            <w:r>
              <w:rPr>
                <w:rFonts w:ascii="黑体" w:hAnsi="黑体" w:eastAsia="黑体" w:cs="Times New Roman"/>
                <w:color w:val="000000" w:themeColor="text1"/>
                <w:sz w:val="28"/>
                <w:szCs w:val="28"/>
                <w14:textFill>
                  <w14:solidFill>
                    <w14:schemeClr w14:val="tx1"/>
                  </w14:solidFill>
                </w14:textFill>
              </w:rPr>
              <w:t>合计</w:t>
            </w:r>
          </w:p>
        </w:tc>
        <w:tc>
          <w:tcPr>
            <w:tcW w:w="3794" w:type="dxa"/>
            <w:noWrap/>
            <w:vAlign w:val="center"/>
          </w:tcPr>
          <w:p>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300</w:t>
            </w:r>
          </w:p>
        </w:tc>
      </w:tr>
    </w:tbl>
    <w:p>
      <w:pPr>
        <w:adjustRightInd w:val="0"/>
        <w:snapToGrid w:val="0"/>
        <w:spacing w:line="560" w:lineRule="exact"/>
        <w:rPr>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60" w:lineRule="exact"/>
        <w:ind w:firstLine="227"/>
        <w:rPr>
          <w:rFonts w:ascii="Times New Roman" w:hAnsi="Times New Roman" w:eastAsia="仿宋_GB2312" w:cs="Times New Roman"/>
          <w:color w:val="000000" w:themeColor="text1"/>
          <w:sz w:val="32"/>
          <w:szCs w:val="32"/>
          <w14:textFill>
            <w14:solidFill>
              <w14:schemeClr w14:val="tx1"/>
            </w14:solidFill>
          </w14:textFill>
        </w:rPr>
      </w:pPr>
      <w:bookmarkStart w:id="0" w:name="_GoBack"/>
      <w:bookmarkEnd w:id="0"/>
    </w:p>
    <w:sectPr>
      <w:footerReference r:id="rId3" w:type="default"/>
      <w:footerReference r:id="rId4" w:type="even"/>
      <w:pgSz w:w="11906" w:h="16838"/>
      <w:pgMar w:top="2098" w:right="1531" w:bottom="1985" w:left="1531" w:header="709" w:footer="136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4"/>
      <w:jc w:val="right"/>
    </w:pPr>
    <w:sdt>
      <w:sdtPr>
        <w:id w:val="24082218"/>
        <w:docPartObj>
          <w:docPartGallery w:val="AutoText"/>
        </w:docPartObj>
      </w:sdtPr>
      <w:sdtEndPr>
        <w:rPr>
          <w:rFonts w:ascii="Times New Roman" w:hAnsi="Times New Roman" w:cs="Times New Roman"/>
        </w:rPr>
      </w:sdtEndPr>
      <w:sdtContent>
        <w:r>
          <w:rPr>
            <w:rFonts w:hint="eastAsia"/>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82249"/>
      <w:docPartObj>
        <w:docPartGallery w:val="AutoText"/>
      </w:docPartObj>
    </w:sdtPr>
    <w:sdtContent>
      <w:p>
        <w:pPr>
          <w:pStyle w:val="3"/>
        </w:pP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B7"/>
    <w:rsid w:val="0001445A"/>
    <w:rsid w:val="000503C8"/>
    <w:rsid w:val="000564A6"/>
    <w:rsid w:val="00071BCC"/>
    <w:rsid w:val="00076248"/>
    <w:rsid w:val="000A5C92"/>
    <w:rsid w:val="000B1C0F"/>
    <w:rsid w:val="0010566E"/>
    <w:rsid w:val="0011003E"/>
    <w:rsid w:val="001104A1"/>
    <w:rsid w:val="00131594"/>
    <w:rsid w:val="001637B5"/>
    <w:rsid w:val="001679B7"/>
    <w:rsid w:val="0019043A"/>
    <w:rsid w:val="00196877"/>
    <w:rsid w:val="001A1315"/>
    <w:rsid w:val="001A4D1A"/>
    <w:rsid w:val="001C5BB2"/>
    <w:rsid w:val="001D63A9"/>
    <w:rsid w:val="001E0279"/>
    <w:rsid w:val="001E21A8"/>
    <w:rsid w:val="001E3637"/>
    <w:rsid w:val="001F59C5"/>
    <w:rsid w:val="00222C2A"/>
    <w:rsid w:val="00224369"/>
    <w:rsid w:val="0024456E"/>
    <w:rsid w:val="00245909"/>
    <w:rsid w:val="00256114"/>
    <w:rsid w:val="00272829"/>
    <w:rsid w:val="002831E3"/>
    <w:rsid w:val="00287FB8"/>
    <w:rsid w:val="002930CE"/>
    <w:rsid w:val="0032408B"/>
    <w:rsid w:val="00330D72"/>
    <w:rsid w:val="003406D1"/>
    <w:rsid w:val="00342F8B"/>
    <w:rsid w:val="00360A8B"/>
    <w:rsid w:val="00360BB7"/>
    <w:rsid w:val="00382EA2"/>
    <w:rsid w:val="00392201"/>
    <w:rsid w:val="003A1E37"/>
    <w:rsid w:val="003A7963"/>
    <w:rsid w:val="003B56A4"/>
    <w:rsid w:val="003C22EE"/>
    <w:rsid w:val="003D4272"/>
    <w:rsid w:val="003E0C01"/>
    <w:rsid w:val="003F256C"/>
    <w:rsid w:val="0040785D"/>
    <w:rsid w:val="004329F0"/>
    <w:rsid w:val="00441145"/>
    <w:rsid w:val="004B1D7B"/>
    <w:rsid w:val="004D3858"/>
    <w:rsid w:val="0050034F"/>
    <w:rsid w:val="005053EA"/>
    <w:rsid w:val="00530C7E"/>
    <w:rsid w:val="00546CF9"/>
    <w:rsid w:val="00562384"/>
    <w:rsid w:val="00562FD9"/>
    <w:rsid w:val="00575DF8"/>
    <w:rsid w:val="0057677E"/>
    <w:rsid w:val="005B4C4C"/>
    <w:rsid w:val="005F200B"/>
    <w:rsid w:val="00602EF6"/>
    <w:rsid w:val="006032D3"/>
    <w:rsid w:val="00637DDB"/>
    <w:rsid w:val="00643EA9"/>
    <w:rsid w:val="0064554F"/>
    <w:rsid w:val="00661A0D"/>
    <w:rsid w:val="006A3022"/>
    <w:rsid w:val="006A7D77"/>
    <w:rsid w:val="006B029D"/>
    <w:rsid w:val="006B198C"/>
    <w:rsid w:val="006B68F2"/>
    <w:rsid w:val="006D4073"/>
    <w:rsid w:val="006E7253"/>
    <w:rsid w:val="00726BFC"/>
    <w:rsid w:val="00771C9D"/>
    <w:rsid w:val="00797F08"/>
    <w:rsid w:val="007C095D"/>
    <w:rsid w:val="007C5B1B"/>
    <w:rsid w:val="007E31D4"/>
    <w:rsid w:val="007F20A5"/>
    <w:rsid w:val="008018F6"/>
    <w:rsid w:val="00801C04"/>
    <w:rsid w:val="0080261C"/>
    <w:rsid w:val="00807BB7"/>
    <w:rsid w:val="00815742"/>
    <w:rsid w:val="00823965"/>
    <w:rsid w:val="00826779"/>
    <w:rsid w:val="00844A19"/>
    <w:rsid w:val="00846F98"/>
    <w:rsid w:val="00854E0C"/>
    <w:rsid w:val="008E5570"/>
    <w:rsid w:val="00902B6C"/>
    <w:rsid w:val="00904C2C"/>
    <w:rsid w:val="009102DF"/>
    <w:rsid w:val="00922F82"/>
    <w:rsid w:val="00974742"/>
    <w:rsid w:val="00974B58"/>
    <w:rsid w:val="009C0796"/>
    <w:rsid w:val="009D5486"/>
    <w:rsid w:val="009E64F7"/>
    <w:rsid w:val="009E6AB4"/>
    <w:rsid w:val="00A02E2B"/>
    <w:rsid w:val="00A17557"/>
    <w:rsid w:val="00A24CC8"/>
    <w:rsid w:val="00A339F5"/>
    <w:rsid w:val="00A353CF"/>
    <w:rsid w:val="00A413CE"/>
    <w:rsid w:val="00A43EEE"/>
    <w:rsid w:val="00A703B2"/>
    <w:rsid w:val="00A71D83"/>
    <w:rsid w:val="00A83B7E"/>
    <w:rsid w:val="00A92D2C"/>
    <w:rsid w:val="00A9466A"/>
    <w:rsid w:val="00A95642"/>
    <w:rsid w:val="00AB184C"/>
    <w:rsid w:val="00AD1C9D"/>
    <w:rsid w:val="00AF127C"/>
    <w:rsid w:val="00B05333"/>
    <w:rsid w:val="00B15656"/>
    <w:rsid w:val="00B17D7B"/>
    <w:rsid w:val="00B22273"/>
    <w:rsid w:val="00B65610"/>
    <w:rsid w:val="00B77EEC"/>
    <w:rsid w:val="00B81F9F"/>
    <w:rsid w:val="00B87738"/>
    <w:rsid w:val="00B91767"/>
    <w:rsid w:val="00BA0A2E"/>
    <w:rsid w:val="00BB115B"/>
    <w:rsid w:val="00BB1909"/>
    <w:rsid w:val="00BC1E87"/>
    <w:rsid w:val="00BD0AB5"/>
    <w:rsid w:val="00BD5065"/>
    <w:rsid w:val="00BE2CAF"/>
    <w:rsid w:val="00C04106"/>
    <w:rsid w:val="00C26A9A"/>
    <w:rsid w:val="00C6624A"/>
    <w:rsid w:val="00C95FC3"/>
    <w:rsid w:val="00CA3AE4"/>
    <w:rsid w:val="00CB0651"/>
    <w:rsid w:val="00CC0B98"/>
    <w:rsid w:val="00CC33D2"/>
    <w:rsid w:val="00CD1656"/>
    <w:rsid w:val="00CE43AA"/>
    <w:rsid w:val="00D135AD"/>
    <w:rsid w:val="00D140F2"/>
    <w:rsid w:val="00D37F02"/>
    <w:rsid w:val="00D432B9"/>
    <w:rsid w:val="00D43C67"/>
    <w:rsid w:val="00DA10C7"/>
    <w:rsid w:val="00DA4F6D"/>
    <w:rsid w:val="00DB64E0"/>
    <w:rsid w:val="00DC1622"/>
    <w:rsid w:val="00DD306B"/>
    <w:rsid w:val="00DD6074"/>
    <w:rsid w:val="00E02A1B"/>
    <w:rsid w:val="00E043CB"/>
    <w:rsid w:val="00E06927"/>
    <w:rsid w:val="00E10AD6"/>
    <w:rsid w:val="00E14A2D"/>
    <w:rsid w:val="00E32FC2"/>
    <w:rsid w:val="00E3735D"/>
    <w:rsid w:val="00E50425"/>
    <w:rsid w:val="00E51EEE"/>
    <w:rsid w:val="00E526F7"/>
    <w:rsid w:val="00E83447"/>
    <w:rsid w:val="00E837E6"/>
    <w:rsid w:val="00E86F7F"/>
    <w:rsid w:val="00E9418D"/>
    <w:rsid w:val="00EA2329"/>
    <w:rsid w:val="00ED7D92"/>
    <w:rsid w:val="00EE64FC"/>
    <w:rsid w:val="00EF20A9"/>
    <w:rsid w:val="00F04E8A"/>
    <w:rsid w:val="00F16734"/>
    <w:rsid w:val="00F41E85"/>
    <w:rsid w:val="00F45609"/>
    <w:rsid w:val="00F71291"/>
    <w:rsid w:val="00F80F08"/>
    <w:rsid w:val="00F810D9"/>
    <w:rsid w:val="00F91AFB"/>
    <w:rsid w:val="00FA64CC"/>
    <w:rsid w:val="00FB1C2F"/>
    <w:rsid w:val="00FB50CB"/>
    <w:rsid w:val="00FC4FBB"/>
    <w:rsid w:val="022B2C0A"/>
    <w:rsid w:val="07270BBE"/>
    <w:rsid w:val="084E2967"/>
    <w:rsid w:val="0EA33B28"/>
    <w:rsid w:val="0EB14497"/>
    <w:rsid w:val="114A51ED"/>
    <w:rsid w:val="11DF30C9"/>
    <w:rsid w:val="12E3308D"/>
    <w:rsid w:val="163A2FC4"/>
    <w:rsid w:val="17233A58"/>
    <w:rsid w:val="17AC1CA0"/>
    <w:rsid w:val="18CE5C46"/>
    <w:rsid w:val="19120228"/>
    <w:rsid w:val="1E195BB5"/>
    <w:rsid w:val="1E6A2E29"/>
    <w:rsid w:val="1E9D2342"/>
    <w:rsid w:val="1EC84B48"/>
    <w:rsid w:val="20EA3839"/>
    <w:rsid w:val="221A2DAF"/>
    <w:rsid w:val="22EA7B20"/>
    <w:rsid w:val="23A777BF"/>
    <w:rsid w:val="23B343B6"/>
    <w:rsid w:val="26A61FB0"/>
    <w:rsid w:val="28247630"/>
    <w:rsid w:val="29C0782D"/>
    <w:rsid w:val="2D5413BF"/>
    <w:rsid w:val="2D92328E"/>
    <w:rsid w:val="2E7C6418"/>
    <w:rsid w:val="307F4046"/>
    <w:rsid w:val="310E5321"/>
    <w:rsid w:val="34563267"/>
    <w:rsid w:val="35D7686D"/>
    <w:rsid w:val="38D330D8"/>
    <w:rsid w:val="38DA39B5"/>
    <w:rsid w:val="3A7601BF"/>
    <w:rsid w:val="3D7B5AED"/>
    <w:rsid w:val="413E5451"/>
    <w:rsid w:val="45C30031"/>
    <w:rsid w:val="4D072EF9"/>
    <w:rsid w:val="53241251"/>
    <w:rsid w:val="53422EDD"/>
    <w:rsid w:val="54C66752"/>
    <w:rsid w:val="54F77CF7"/>
    <w:rsid w:val="566B44F9"/>
    <w:rsid w:val="58535244"/>
    <w:rsid w:val="58F00CE5"/>
    <w:rsid w:val="5A36306F"/>
    <w:rsid w:val="5BED3C02"/>
    <w:rsid w:val="5C7D4F86"/>
    <w:rsid w:val="5DD010E5"/>
    <w:rsid w:val="5DFD637E"/>
    <w:rsid w:val="613F0A5C"/>
    <w:rsid w:val="61A94127"/>
    <w:rsid w:val="63E47698"/>
    <w:rsid w:val="67BC2E06"/>
    <w:rsid w:val="6D5E670D"/>
    <w:rsid w:val="6F6D0E8A"/>
    <w:rsid w:val="72D51220"/>
    <w:rsid w:val="74FB2A94"/>
    <w:rsid w:val="77BC475C"/>
    <w:rsid w:val="77F411D0"/>
    <w:rsid w:val="784D2F1F"/>
    <w:rsid w:val="791B54B2"/>
    <w:rsid w:val="7A150154"/>
    <w:rsid w:val="7DB54128"/>
    <w:rsid w:val="7F484B27"/>
    <w:rsid w:val="7FC543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 w:type="paragraph" w:customStyle="1" w:styleId="13">
    <w:name w:val="Defaul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791</Words>
  <Characters>4510</Characters>
  <Lines>37</Lines>
  <Paragraphs>10</Paragraphs>
  <TotalTime>15</TotalTime>
  <ScaleCrop>false</ScaleCrop>
  <LinksUpToDate>false</LinksUpToDate>
  <CharactersWithSpaces>5291</CharactersWithSpaces>
  <Application>WPS Office_11.1.0.11369_F1E327BC-269C-435d-A152-05C5408002CA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2022-04-11T08:13:00Z</dcterms:created>
  <dc:creator>LMM</dc:creator>
  <cp:lastModifiedBy>秦</cp:lastModifiedBy>
  <cp:lastPrinted>2022-03-26T07:34:00Z</cp:lastPrinted>
  <dcterms:modified xsi:type="dcterms:W3CDTF">2022-04-12T02:27:55Z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DC17E930D9EF4D82B1B38F22E2C33118</vt:lpwstr>
  </property>
</Properties>
</file>